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9C01" w14:textId="77777777" w:rsidR="00440AA7" w:rsidRPr="007E45F9" w:rsidRDefault="00E94A2A" w:rsidP="00E4604D">
      <w:pPr>
        <w:rPr>
          <w:sz w:val="16"/>
          <w:lang w:val="en-GB"/>
        </w:rPr>
      </w:pPr>
      <w:r w:rsidRPr="007E45F9">
        <w:rPr>
          <w:b/>
          <w:noProof/>
          <w:sz w:val="36"/>
        </w:rPr>
        <w:drawing>
          <wp:anchor distT="0" distB="0" distL="114300" distR="114300" simplePos="0" relativeHeight="251659264" behindDoc="1" locked="0" layoutInCell="1" allowOverlap="1" wp14:anchorId="3E719C61" wp14:editId="3E719C62">
            <wp:simplePos x="0" y="0"/>
            <wp:positionH relativeFrom="page">
              <wp:posOffset>5092257</wp:posOffset>
            </wp:positionH>
            <wp:positionV relativeFrom="page">
              <wp:posOffset>279400</wp:posOffset>
            </wp:positionV>
            <wp:extent cx="1695893" cy="7366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893" cy="736600"/>
                    </a:xfrm>
                    <a:prstGeom prst="rect">
                      <a:avLst/>
                    </a:prstGeom>
                  </pic:spPr>
                </pic:pic>
              </a:graphicData>
            </a:graphic>
          </wp:anchor>
        </w:drawing>
      </w:r>
      <w:r w:rsidR="00440AA7" w:rsidRPr="007E45F9">
        <w:rPr>
          <w:b/>
          <w:sz w:val="32"/>
          <w:lang w:val="en-GB"/>
        </w:rPr>
        <w:tab/>
      </w:r>
      <w:r w:rsidR="00440AA7" w:rsidRPr="007E45F9">
        <w:rPr>
          <w:b/>
          <w:sz w:val="32"/>
          <w:lang w:val="en-GB"/>
        </w:rPr>
        <w:tab/>
      </w:r>
      <w:r w:rsidR="00440AA7" w:rsidRPr="007E45F9">
        <w:rPr>
          <w:b/>
          <w:sz w:val="32"/>
          <w:lang w:val="en-GB"/>
        </w:rPr>
        <w:tab/>
      </w:r>
      <w:r w:rsidR="00440AA7" w:rsidRPr="007E45F9">
        <w:rPr>
          <w:b/>
          <w:sz w:val="32"/>
          <w:lang w:val="en-GB"/>
        </w:rPr>
        <w:tab/>
      </w:r>
      <w:r w:rsidR="00440AA7" w:rsidRPr="007E45F9">
        <w:rPr>
          <w:b/>
          <w:sz w:val="32"/>
          <w:lang w:val="en-GB"/>
        </w:rPr>
        <w:tab/>
      </w:r>
      <w:r w:rsidR="00440AA7" w:rsidRPr="007E45F9">
        <w:rPr>
          <w:b/>
          <w:sz w:val="32"/>
          <w:lang w:val="en-GB"/>
        </w:rPr>
        <w:tab/>
      </w:r>
      <w:r w:rsidR="00440AA7" w:rsidRPr="007E45F9">
        <w:rPr>
          <w:b/>
          <w:sz w:val="32"/>
          <w:lang w:val="en-GB"/>
        </w:rPr>
        <w:tab/>
      </w:r>
      <w:bookmarkStart w:id="0" w:name="_MON_1273558428"/>
      <w:bookmarkStart w:id="1" w:name="_MON_1273558438"/>
      <w:bookmarkStart w:id="2" w:name="_MON_1273558618"/>
      <w:bookmarkEnd w:id="0"/>
      <w:bookmarkEnd w:id="1"/>
      <w:bookmarkEnd w:id="2"/>
    </w:p>
    <w:p w14:paraId="3E719C02" w14:textId="77777777" w:rsidR="00E94A2A" w:rsidRPr="007E45F9" w:rsidRDefault="00E94A2A" w:rsidP="00E4604D">
      <w:pPr>
        <w:rPr>
          <w:sz w:val="16"/>
          <w:lang w:val="en-GB"/>
        </w:rPr>
      </w:pPr>
    </w:p>
    <w:p w14:paraId="3E719C03" w14:textId="77777777" w:rsidR="00E94A2A" w:rsidRPr="007E45F9" w:rsidRDefault="00E94A2A" w:rsidP="00E4604D">
      <w:pPr>
        <w:rPr>
          <w:sz w:val="16"/>
          <w:lang w:val="en-GB"/>
        </w:rPr>
      </w:pPr>
    </w:p>
    <w:p w14:paraId="3E719C04" w14:textId="77777777" w:rsidR="00D51EA5" w:rsidRPr="007E45F9" w:rsidRDefault="00D51EA5" w:rsidP="00666240">
      <w:pPr>
        <w:jc w:val="both"/>
        <w:rPr>
          <w:b/>
          <w:szCs w:val="24"/>
          <w:lang w:val="en-GB"/>
        </w:rPr>
      </w:pPr>
      <w:r w:rsidRPr="007E45F9">
        <w:rPr>
          <w:b/>
          <w:sz w:val="32"/>
          <w:lang w:val="en-GB"/>
        </w:rPr>
        <w:tab/>
      </w:r>
      <w:r w:rsidRPr="007E45F9">
        <w:rPr>
          <w:b/>
          <w:sz w:val="32"/>
          <w:lang w:val="en-GB"/>
        </w:rPr>
        <w:tab/>
      </w:r>
      <w:r w:rsidRPr="007E45F9">
        <w:rPr>
          <w:b/>
          <w:sz w:val="32"/>
          <w:lang w:val="en-GB"/>
        </w:rPr>
        <w:tab/>
      </w:r>
      <w:r w:rsidRPr="007E45F9">
        <w:rPr>
          <w:b/>
          <w:sz w:val="32"/>
          <w:lang w:val="en-GB"/>
        </w:rPr>
        <w:tab/>
      </w:r>
      <w:r w:rsidRPr="007E45F9">
        <w:rPr>
          <w:b/>
          <w:sz w:val="32"/>
          <w:lang w:val="en-GB"/>
        </w:rPr>
        <w:tab/>
      </w:r>
      <w:r w:rsidRPr="007E45F9">
        <w:rPr>
          <w:b/>
          <w:sz w:val="32"/>
          <w:lang w:val="en-GB"/>
        </w:rPr>
        <w:tab/>
      </w:r>
      <w:r w:rsidRPr="007E45F9">
        <w:rPr>
          <w:b/>
          <w:sz w:val="32"/>
          <w:lang w:val="en-GB"/>
        </w:rPr>
        <w:tab/>
      </w:r>
      <w:r w:rsidRPr="007E45F9">
        <w:rPr>
          <w:b/>
          <w:sz w:val="32"/>
          <w:lang w:val="en-GB"/>
        </w:rPr>
        <w:tab/>
      </w:r>
      <w:r w:rsidRPr="007E45F9">
        <w:rPr>
          <w:b/>
          <w:sz w:val="32"/>
          <w:lang w:val="en-GB"/>
        </w:rPr>
        <w:tab/>
      </w:r>
    </w:p>
    <w:p w14:paraId="3E719C05" w14:textId="2D26E2B5" w:rsidR="00CF3B65" w:rsidRPr="007E45F9" w:rsidRDefault="00CF3B65" w:rsidP="00E4604D">
      <w:pPr>
        <w:spacing w:line="360" w:lineRule="auto"/>
        <w:rPr>
          <w:b/>
          <w:lang w:val="en-GB"/>
        </w:rPr>
      </w:pPr>
      <w:r w:rsidRPr="007E45F9">
        <w:rPr>
          <w:b/>
          <w:lang w:val="en-GB"/>
        </w:rPr>
        <w:tab/>
      </w:r>
      <w:r w:rsidRPr="007E45F9">
        <w:rPr>
          <w:b/>
          <w:lang w:val="en-GB"/>
        </w:rPr>
        <w:tab/>
      </w:r>
      <w:r w:rsidR="00AD44B0" w:rsidRPr="007E45F9">
        <w:rPr>
          <w:b/>
          <w:lang w:val="en-GB"/>
        </w:rPr>
        <w:tab/>
      </w:r>
      <w:r w:rsidR="00B9218D" w:rsidRPr="007E45F9">
        <w:rPr>
          <w:b/>
          <w:lang w:val="en-GB"/>
        </w:rPr>
        <w:tab/>
      </w:r>
      <w:r w:rsidR="00AD44B0" w:rsidRPr="007E45F9">
        <w:rPr>
          <w:b/>
          <w:lang w:val="en-GB"/>
        </w:rPr>
        <w:tab/>
      </w:r>
      <w:r w:rsidR="00B9218D" w:rsidRPr="007E45F9">
        <w:rPr>
          <w:b/>
          <w:lang w:val="en-GB"/>
        </w:rPr>
        <w:tab/>
      </w:r>
      <w:r w:rsidR="00354F23" w:rsidRPr="007E45F9">
        <w:rPr>
          <w:b/>
          <w:lang w:val="en-GB"/>
        </w:rPr>
        <w:tab/>
      </w:r>
      <w:r w:rsidR="00354F23" w:rsidRPr="007E45F9">
        <w:rPr>
          <w:b/>
          <w:lang w:val="en-GB"/>
        </w:rPr>
        <w:tab/>
      </w:r>
      <w:r w:rsidR="00354F23" w:rsidRPr="007E45F9">
        <w:rPr>
          <w:b/>
          <w:lang w:val="en-GB"/>
        </w:rPr>
        <w:tab/>
      </w:r>
      <w:r w:rsidR="00354F23" w:rsidRPr="007E45F9">
        <w:rPr>
          <w:b/>
          <w:lang w:val="en-GB"/>
        </w:rPr>
        <w:tab/>
      </w:r>
      <w:r w:rsidR="004C36AB" w:rsidRPr="007E45F9">
        <w:rPr>
          <w:b/>
          <w:lang w:val="en-GB"/>
        </w:rPr>
        <w:t>Da</w:t>
      </w:r>
      <w:r w:rsidR="00B472AB" w:rsidRPr="007E45F9">
        <w:rPr>
          <w:b/>
          <w:lang w:val="en-GB"/>
        </w:rPr>
        <w:t>te</w:t>
      </w:r>
      <w:r w:rsidR="004C36AB" w:rsidRPr="007E45F9">
        <w:rPr>
          <w:b/>
          <w:lang w:val="en-GB"/>
        </w:rPr>
        <w:t>:</w:t>
      </w:r>
      <w:r w:rsidR="004C36AB" w:rsidRPr="007E45F9">
        <w:rPr>
          <w:b/>
          <w:lang w:val="en-GB"/>
        </w:rPr>
        <w:tab/>
      </w:r>
      <w:r w:rsidR="00FC6989">
        <w:rPr>
          <w:b/>
          <w:lang w:val="en-GB"/>
        </w:rPr>
        <w:t>0</w:t>
      </w:r>
      <w:r w:rsidR="00883872">
        <w:rPr>
          <w:b/>
          <w:lang w:val="en-GB"/>
        </w:rPr>
        <w:t>8</w:t>
      </w:r>
      <w:r w:rsidR="009313D2">
        <w:rPr>
          <w:b/>
          <w:lang w:val="en-GB"/>
        </w:rPr>
        <w:t>.0</w:t>
      </w:r>
      <w:r w:rsidR="003C734C">
        <w:rPr>
          <w:b/>
          <w:lang w:val="en-GB"/>
        </w:rPr>
        <w:t>2</w:t>
      </w:r>
      <w:r w:rsidR="007E334E" w:rsidRPr="007E45F9">
        <w:rPr>
          <w:b/>
          <w:lang w:val="en-GB"/>
        </w:rPr>
        <w:t>.20</w:t>
      </w:r>
      <w:r w:rsidR="000C7934">
        <w:rPr>
          <w:b/>
          <w:lang w:val="en-GB"/>
        </w:rPr>
        <w:t>2</w:t>
      </w:r>
      <w:r w:rsidR="00883872">
        <w:rPr>
          <w:b/>
          <w:lang w:val="en-GB"/>
        </w:rPr>
        <w:t>2</w:t>
      </w:r>
    </w:p>
    <w:p w14:paraId="3E719C06" w14:textId="77777777" w:rsidR="00440AA7" w:rsidRPr="007E45F9" w:rsidRDefault="00440AA7" w:rsidP="00E4604D">
      <w:pPr>
        <w:rPr>
          <w:lang w:val="en-GB"/>
        </w:rPr>
      </w:pPr>
    </w:p>
    <w:p w14:paraId="3E719C08" w14:textId="77777777" w:rsidR="00D404FD" w:rsidRPr="007E45F9" w:rsidRDefault="00D404FD" w:rsidP="00E4604D">
      <w:pPr>
        <w:rPr>
          <w:b/>
          <w:lang w:val="en-GB"/>
        </w:rPr>
      </w:pPr>
    </w:p>
    <w:p w14:paraId="3E719C09" w14:textId="77777777" w:rsidR="00F86F93" w:rsidRPr="007E45F9" w:rsidRDefault="00354F23" w:rsidP="00E4604D">
      <w:pPr>
        <w:rPr>
          <w:b/>
          <w:sz w:val="36"/>
          <w:szCs w:val="36"/>
          <w:lang w:val="en-GB"/>
        </w:rPr>
      </w:pPr>
      <w:r w:rsidRPr="007E45F9">
        <w:rPr>
          <w:b/>
          <w:sz w:val="36"/>
          <w:szCs w:val="36"/>
          <w:lang w:val="en-GB"/>
        </w:rPr>
        <w:t>ORKLA GROUP TAX STRATEGY</w:t>
      </w:r>
    </w:p>
    <w:p w14:paraId="3E719C0A" w14:textId="77777777" w:rsidR="000D72BC" w:rsidRPr="007E45F9" w:rsidRDefault="000D72BC" w:rsidP="00E4604D">
      <w:pPr>
        <w:rPr>
          <w:b/>
          <w:lang w:val="en-GB"/>
        </w:rPr>
      </w:pPr>
    </w:p>
    <w:p w14:paraId="3E719C0B" w14:textId="77777777" w:rsidR="00056E1E" w:rsidRPr="007E45F9" w:rsidRDefault="00354F23" w:rsidP="00E4604D">
      <w:pPr>
        <w:rPr>
          <w:b/>
          <w:lang w:val="en-GB"/>
        </w:rPr>
      </w:pPr>
      <w:r w:rsidRPr="007E45F9">
        <w:rPr>
          <w:b/>
          <w:lang w:val="en-GB"/>
        </w:rPr>
        <w:t>1.0 Introduction</w:t>
      </w:r>
    </w:p>
    <w:p w14:paraId="3E719C0C" w14:textId="77777777" w:rsidR="008B430A" w:rsidRPr="007E45F9" w:rsidRDefault="008B430A" w:rsidP="00731E3C">
      <w:pPr>
        <w:rPr>
          <w:lang w:val="en-GB"/>
        </w:rPr>
      </w:pPr>
    </w:p>
    <w:p w14:paraId="3E719C0D" w14:textId="7473E4CE" w:rsidR="00354F23" w:rsidRPr="007E45F9" w:rsidRDefault="00B472AB" w:rsidP="00731E3C">
      <w:pPr>
        <w:rPr>
          <w:lang w:val="en-GB"/>
        </w:rPr>
      </w:pPr>
      <w:r w:rsidRPr="007E45F9">
        <w:rPr>
          <w:lang w:val="en-GB"/>
        </w:rPr>
        <w:t xml:space="preserve">This document, approved by the Board’s Audit Committee on behalf of the Board of Orkla ASA, sets out the Orkla Group’s strategy, policy and approach in conducting its tax affairs and dealing with tax risk. </w:t>
      </w:r>
      <w:r w:rsidR="000C7934" w:rsidRPr="000C7934">
        <w:rPr>
          <w:lang w:val="en-GB"/>
        </w:rPr>
        <w:t>This Strategy includes all taxes, including but not limited to corporate income tax and indirect taxes such as VAT, excise and customs duties.</w:t>
      </w:r>
      <w:r w:rsidR="000C7934">
        <w:rPr>
          <w:lang w:val="en-GB"/>
        </w:rPr>
        <w:t xml:space="preserve"> </w:t>
      </w:r>
      <w:r w:rsidRPr="007E45F9">
        <w:rPr>
          <w:lang w:val="en-GB"/>
        </w:rPr>
        <w:t xml:space="preserve">The </w:t>
      </w:r>
      <w:r w:rsidR="00EA248F">
        <w:rPr>
          <w:lang w:val="en-GB"/>
        </w:rPr>
        <w:t xml:space="preserve">Orkla </w:t>
      </w:r>
      <w:r w:rsidR="000551B9" w:rsidRPr="007E45F9">
        <w:rPr>
          <w:lang w:val="en-GB"/>
        </w:rPr>
        <w:t xml:space="preserve">Group Tax </w:t>
      </w:r>
      <w:r w:rsidR="00EA248F">
        <w:rPr>
          <w:lang w:val="en-GB"/>
        </w:rPr>
        <w:t>T</w:t>
      </w:r>
      <w:r w:rsidR="000551B9" w:rsidRPr="007E45F9">
        <w:rPr>
          <w:lang w:val="en-GB"/>
        </w:rPr>
        <w:t xml:space="preserve">eam </w:t>
      </w:r>
      <w:r w:rsidR="00EA248F">
        <w:rPr>
          <w:lang w:val="en-GB"/>
        </w:rPr>
        <w:t xml:space="preserve">at the Group centre </w:t>
      </w:r>
      <w:r w:rsidR="000551B9" w:rsidRPr="007E45F9">
        <w:rPr>
          <w:lang w:val="en-GB"/>
        </w:rPr>
        <w:t xml:space="preserve">will periodically review the document, which is available to all Orkla Group stakeholders. </w:t>
      </w:r>
      <w:r w:rsidR="000551B9" w:rsidRPr="00211B1B">
        <w:rPr>
          <w:lang w:val="en-GB"/>
        </w:rPr>
        <w:t xml:space="preserve">The Board’s Audit Committee will approve any amendments </w:t>
      </w:r>
      <w:r w:rsidR="009C251B" w:rsidRPr="00211B1B">
        <w:rPr>
          <w:lang w:val="en-GB"/>
        </w:rPr>
        <w:t>to</w:t>
      </w:r>
      <w:r w:rsidR="000551B9" w:rsidRPr="00211B1B">
        <w:rPr>
          <w:lang w:val="en-GB"/>
        </w:rPr>
        <w:t xml:space="preserve"> the document. </w:t>
      </w:r>
      <w:r w:rsidR="00745AD6" w:rsidRPr="00211B1B">
        <w:rPr>
          <w:lang w:val="en-GB"/>
        </w:rPr>
        <w:t xml:space="preserve">Annual re-approval without material changes is </w:t>
      </w:r>
      <w:r w:rsidR="00D94AA2" w:rsidRPr="00211B1B">
        <w:rPr>
          <w:lang w:val="en-GB"/>
        </w:rPr>
        <w:t>done</w:t>
      </w:r>
      <w:r w:rsidR="00745AD6" w:rsidRPr="00211B1B">
        <w:rPr>
          <w:lang w:val="en-GB"/>
        </w:rPr>
        <w:t xml:space="preserve"> by the Group Chief Financial Officer. This Tax Strategy document</w:t>
      </w:r>
      <w:r w:rsidR="000551B9" w:rsidRPr="00211B1B">
        <w:rPr>
          <w:lang w:val="en-GB"/>
        </w:rPr>
        <w:t xml:space="preserve"> </w:t>
      </w:r>
      <w:r w:rsidR="00745AD6" w:rsidRPr="00211B1B">
        <w:rPr>
          <w:lang w:val="en-GB"/>
        </w:rPr>
        <w:t>is effective for the calendar year</w:t>
      </w:r>
      <w:r w:rsidR="000551B9" w:rsidRPr="00211B1B">
        <w:rPr>
          <w:lang w:val="en-GB"/>
        </w:rPr>
        <w:t xml:space="preserve"> ending 31 December 20</w:t>
      </w:r>
      <w:r w:rsidR="0094621A">
        <w:rPr>
          <w:lang w:val="en-GB"/>
        </w:rPr>
        <w:t>2</w:t>
      </w:r>
      <w:r w:rsidR="00883872">
        <w:rPr>
          <w:lang w:val="en-GB"/>
        </w:rPr>
        <w:t>2</w:t>
      </w:r>
      <w:r w:rsidR="000551B9" w:rsidRPr="00211B1B">
        <w:rPr>
          <w:lang w:val="en-GB"/>
        </w:rPr>
        <w:t>.</w:t>
      </w:r>
    </w:p>
    <w:p w14:paraId="3E719C0E" w14:textId="77777777" w:rsidR="000551B9" w:rsidRPr="007E45F9" w:rsidRDefault="000551B9" w:rsidP="00731E3C">
      <w:pPr>
        <w:rPr>
          <w:lang w:val="en-GB"/>
        </w:rPr>
      </w:pPr>
    </w:p>
    <w:p w14:paraId="3E719C0F" w14:textId="6180DF56" w:rsidR="000551B9" w:rsidRPr="007E45F9" w:rsidRDefault="00EF524F" w:rsidP="00731E3C">
      <w:pPr>
        <w:rPr>
          <w:lang w:val="en-GB"/>
        </w:rPr>
      </w:pPr>
      <w:r>
        <w:rPr>
          <w:lang w:val="en-GB"/>
        </w:rPr>
        <w:t xml:space="preserve">Orkla </w:t>
      </w:r>
      <w:r w:rsidR="00521D6E">
        <w:rPr>
          <w:lang w:val="en-GB"/>
        </w:rPr>
        <w:t>aims to be</w:t>
      </w:r>
      <w:r>
        <w:rPr>
          <w:lang w:val="en-GB"/>
        </w:rPr>
        <w:t xml:space="preserve"> a responsible taxpayer. This is recognised by this Orkla Group Tax Strategy, which establishes a clear and strong Group approach based on openness and transparency in tax reporting and compliance, wherever the </w:t>
      </w:r>
      <w:r w:rsidR="00694C70">
        <w:rPr>
          <w:lang w:val="en-GB"/>
        </w:rPr>
        <w:t>G</w:t>
      </w:r>
      <w:r>
        <w:rPr>
          <w:lang w:val="en-GB"/>
        </w:rPr>
        <w:t xml:space="preserve">roup has business operations. </w:t>
      </w:r>
      <w:r w:rsidR="000551B9" w:rsidRPr="007E45F9">
        <w:rPr>
          <w:lang w:val="en-GB"/>
        </w:rPr>
        <w:t>The Group Tax team collaborates with the group’s businesses to ensure that:</w:t>
      </w:r>
    </w:p>
    <w:p w14:paraId="3E719C10" w14:textId="77777777" w:rsidR="000551B9" w:rsidRPr="007E45F9" w:rsidRDefault="000551B9" w:rsidP="00731E3C">
      <w:pPr>
        <w:rPr>
          <w:lang w:val="en-GB"/>
        </w:rPr>
      </w:pPr>
    </w:p>
    <w:p w14:paraId="3E719C11" w14:textId="77777777" w:rsidR="000551B9" w:rsidRPr="007E45F9" w:rsidRDefault="000551B9" w:rsidP="000551B9">
      <w:pPr>
        <w:pStyle w:val="ListParagraph"/>
        <w:numPr>
          <w:ilvl w:val="0"/>
          <w:numId w:val="20"/>
        </w:numPr>
        <w:rPr>
          <w:lang w:val="en-GB"/>
        </w:rPr>
      </w:pPr>
      <w:r w:rsidRPr="007E45F9">
        <w:rPr>
          <w:lang w:val="en-GB"/>
        </w:rPr>
        <w:t>The strategy is adopted and followed consistently across the Orkla Group, with clear lines of responsibility and accountability.</w:t>
      </w:r>
    </w:p>
    <w:p w14:paraId="3E719C12" w14:textId="77777777" w:rsidR="000551B9" w:rsidRPr="007E45F9" w:rsidRDefault="000551B9" w:rsidP="000551B9">
      <w:pPr>
        <w:pStyle w:val="ListParagraph"/>
        <w:rPr>
          <w:lang w:val="en-GB"/>
        </w:rPr>
      </w:pPr>
    </w:p>
    <w:p w14:paraId="3E719C13" w14:textId="2C00217A" w:rsidR="000551B9" w:rsidRPr="007E45F9" w:rsidRDefault="00EA248F" w:rsidP="000551B9">
      <w:pPr>
        <w:pStyle w:val="ListParagraph"/>
        <w:numPr>
          <w:ilvl w:val="0"/>
          <w:numId w:val="20"/>
        </w:numPr>
        <w:rPr>
          <w:lang w:val="en-GB"/>
        </w:rPr>
      </w:pPr>
      <w:r>
        <w:rPr>
          <w:lang w:val="en-GB"/>
        </w:rPr>
        <w:t xml:space="preserve">The </w:t>
      </w:r>
      <w:r w:rsidR="000551B9" w:rsidRPr="007E45F9">
        <w:rPr>
          <w:lang w:val="en-GB"/>
        </w:rPr>
        <w:t>Orkla Group pay</w:t>
      </w:r>
      <w:r>
        <w:rPr>
          <w:lang w:val="en-GB"/>
        </w:rPr>
        <w:t>s</w:t>
      </w:r>
      <w:r w:rsidR="000551B9" w:rsidRPr="007E45F9">
        <w:rPr>
          <w:lang w:val="en-GB"/>
        </w:rPr>
        <w:t xml:space="preserve"> the right amount of tax required </w:t>
      </w:r>
      <w:r w:rsidR="00521D6E">
        <w:rPr>
          <w:lang w:val="en-GB"/>
        </w:rPr>
        <w:t>according</w:t>
      </w:r>
      <w:r w:rsidR="000551B9" w:rsidRPr="007E45F9">
        <w:rPr>
          <w:lang w:val="en-GB"/>
        </w:rPr>
        <w:t xml:space="preserve"> to the laws and regulations of the countries in which it operates its business.</w:t>
      </w:r>
    </w:p>
    <w:p w14:paraId="3E719C14" w14:textId="77777777" w:rsidR="000551B9" w:rsidRPr="007E45F9" w:rsidRDefault="000551B9" w:rsidP="000551B9">
      <w:pPr>
        <w:pStyle w:val="ListParagraph"/>
        <w:rPr>
          <w:lang w:val="en-GB"/>
        </w:rPr>
      </w:pPr>
    </w:p>
    <w:p w14:paraId="3E719C15" w14:textId="127B73E8" w:rsidR="00676FFA" w:rsidRPr="007E45F9" w:rsidRDefault="000551B9" w:rsidP="000551B9">
      <w:pPr>
        <w:pStyle w:val="ListParagraph"/>
        <w:numPr>
          <w:ilvl w:val="0"/>
          <w:numId w:val="20"/>
        </w:numPr>
        <w:rPr>
          <w:lang w:val="en-GB"/>
        </w:rPr>
      </w:pPr>
      <w:r w:rsidRPr="007E45F9">
        <w:rPr>
          <w:lang w:val="en-GB"/>
        </w:rPr>
        <w:t>There is alignment between the Group Tax Strategy and the group’s overall approach to corporate governance</w:t>
      </w:r>
      <w:r w:rsidR="00606AFB">
        <w:rPr>
          <w:lang w:val="en-GB"/>
        </w:rPr>
        <w:t>,</w:t>
      </w:r>
      <w:r w:rsidRPr="007E45F9">
        <w:rPr>
          <w:lang w:val="en-GB"/>
        </w:rPr>
        <w:t xml:space="preserve"> risk </w:t>
      </w:r>
      <w:r w:rsidRPr="00F05223">
        <w:rPr>
          <w:lang w:val="en-GB"/>
        </w:rPr>
        <w:t>management</w:t>
      </w:r>
      <w:r w:rsidR="00606AFB" w:rsidRPr="00F05223">
        <w:rPr>
          <w:lang w:val="en-GB"/>
        </w:rPr>
        <w:t xml:space="preserve"> and sustainability</w:t>
      </w:r>
      <w:r w:rsidRPr="007E45F9">
        <w:rPr>
          <w:lang w:val="en-GB"/>
        </w:rPr>
        <w:t>.</w:t>
      </w:r>
    </w:p>
    <w:p w14:paraId="3E719C16" w14:textId="77777777" w:rsidR="00D81F48" w:rsidRPr="007E45F9" w:rsidRDefault="00D81F48" w:rsidP="00D81F48">
      <w:pPr>
        <w:pStyle w:val="ListParagraph"/>
        <w:rPr>
          <w:lang w:val="en-GB"/>
        </w:rPr>
      </w:pPr>
    </w:p>
    <w:p w14:paraId="3E719C17" w14:textId="77777777" w:rsidR="00D81F48" w:rsidRPr="007E45F9" w:rsidRDefault="00D81F48" w:rsidP="00D81F48">
      <w:pPr>
        <w:pStyle w:val="ListParagraph"/>
        <w:rPr>
          <w:lang w:val="en-GB"/>
        </w:rPr>
      </w:pPr>
    </w:p>
    <w:p w14:paraId="3E719C18" w14:textId="77777777" w:rsidR="00676FFA" w:rsidRPr="007E45F9" w:rsidRDefault="00676FFA" w:rsidP="00676FFA">
      <w:pPr>
        <w:pStyle w:val="ListParagraph"/>
        <w:rPr>
          <w:lang w:val="en-GB"/>
        </w:rPr>
      </w:pPr>
    </w:p>
    <w:p w14:paraId="3E719C19" w14:textId="77777777" w:rsidR="00676FFA" w:rsidRPr="007E45F9" w:rsidRDefault="00676FFA" w:rsidP="00676FFA">
      <w:pPr>
        <w:rPr>
          <w:lang w:val="en-GB"/>
        </w:rPr>
      </w:pPr>
      <w:r w:rsidRPr="007E45F9">
        <w:rPr>
          <w:b/>
          <w:lang w:val="en-GB"/>
        </w:rPr>
        <w:t>2.0 Group Tax Policy</w:t>
      </w:r>
    </w:p>
    <w:p w14:paraId="3E719C1A" w14:textId="77777777" w:rsidR="00676FFA" w:rsidRPr="007E45F9" w:rsidRDefault="00676FFA" w:rsidP="00676FFA">
      <w:pPr>
        <w:rPr>
          <w:lang w:val="en-GB"/>
        </w:rPr>
      </w:pPr>
    </w:p>
    <w:p w14:paraId="3E719C1B" w14:textId="46226D65" w:rsidR="00676FFA" w:rsidRPr="007E45F9" w:rsidRDefault="00EA248F" w:rsidP="00676FFA">
      <w:pPr>
        <w:rPr>
          <w:lang w:val="en-GB"/>
        </w:rPr>
      </w:pPr>
      <w:r>
        <w:rPr>
          <w:lang w:val="en-GB"/>
        </w:rPr>
        <w:t xml:space="preserve">All </w:t>
      </w:r>
      <w:r w:rsidR="00676FFA" w:rsidRPr="007E45F9">
        <w:rPr>
          <w:lang w:val="en-GB"/>
        </w:rPr>
        <w:t>Orkla Group</w:t>
      </w:r>
      <w:r>
        <w:rPr>
          <w:lang w:val="en-GB"/>
        </w:rPr>
        <w:t xml:space="preserve"> companies are committed to conduct</w:t>
      </w:r>
      <w:r w:rsidR="00726C49">
        <w:rPr>
          <w:lang w:val="en-GB"/>
        </w:rPr>
        <w:t>ing</w:t>
      </w:r>
      <w:r w:rsidR="00676FFA" w:rsidRPr="007E45F9">
        <w:rPr>
          <w:lang w:val="en-GB"/>
        </w:rPr>
        <w:t xml:space="preserve"> </w:t>
      </w:r>
      <w:r w:rsidR="00726C49">
        <w:rPr>
          <w:lang w:val="en-GB"/>
        </w:rPr>
        <w:t>their</w:t>
      </w:r>
      <w:r w:rsidR="00676FFA" w:rsidRPr="007E45F9">
        <w:rPr>
          <w:lang w:val="en-GB"/>
        </w:rPr>
        <w:t xml:space="preserve"> tax affairs consistent with the following objectives:</w:t>
      </w:r>
    </w:p>
    <w:p w14:paraId="3E719C1C" w14:textId="77777777" w:rsidR="00676FFA" w:rsidRPr="007E45F9" w:rsidRDefault="00676FFA" w:rsidP="00676FFA">
      <w:pPr>
        <w:rPr>
          <w:lang w:val="en-GB"/>
        </w:rPr>
      </w:pPr>
    </w:p>
    <w:p w14:paraId="3E719C1D" w14:textId="0148F8D9" w:rsidR="00676FFA" w:rsidRPr="007E45F9" w:rsidRDefault="00676FFA" w:rsidP="00676FFA">
      <w:pPr>
        <w:pStyle w:val="ListParagraph"/>
        <w:numPr>
          <w:ilvl w:val="0"/>
          <w:numId w:val="21"/>
        </w:numPr>
        <w:rPr>
          <w:lang w:val="en-GB"/>
        </w:rPr>
      </w:pPr>
      <w:r w:rsidRPr="007E45F9">
        <w:rPr>
          <w:lang w:val="en-GB"/>
        </w:rPr>
        <w:t>Comply with all relevant laws, rules, regulations</w:t>
      </w:r>
      <w:r w:rsidR="00EA248F">
        <w:rPr>
          <w:lang w:val="en-GB"/>
        </w:rPr>
        <w:t>,</w:t>
      </w:r>
      <w:r w:rsidRPr="007E45F9">
        <w:rPr>
          <w:lang w:val="en-GB"/>
        </w:rPr>
        <w:t xml:space="preserve"> reporting and disclosure requirements in all countries in which the Group operates</w:t>
      </w:r>
    </w:p>
    <w:p w14:paraId="3E719C1E" w14:textId="77777777" w:rsidR="00D81F48" w:rsidRPr="007E45F9" w:rsidRDefault="00D81F48" w:rsidP="00D81F48">
      <w:pPr>
        <w:pStyle w:val="ListParagraph"/>
        <w:rPr>
          <w:lang w:val="en-GB"/>
        </w:rPr>
      </w:pPr>
    </w:p>
    <w:p w14:paraId="3E719C1F" w14:textId="55DF7D65" w:rsidR="000551B9" w:rsidRPr="007E45F9" w:rsidRDefault="0033731A" w:rsidP="00676FFA">
      <w:pPr>
        <w:pStyle w:val="ListParagraph"/>
        <w:numPr>
          <w:ilvl w:val="0"/>
          <w:numId w:val="21"/>
        </w:numPr>
        <w:rPr>
          <w:lang w:val="en-GB"/>
        </w:rPr>
      </w:pPr>
      <w:r w:rsidRPr="007E45F9">
        <w:rPr>
          <w:lang w:val="en-GB"/>
        </w:rPr>
        <w:t xml:space="preserve">Ensure that the tax strategy </w:t>
      </w:r>
      <w:proofErr w:type="gramStart"/>
      <w:r w:rsidRPr="007E45F9">
        <w:rPr>
          <w:lang w:val="en-GB"/>
        </w:rPr>
        <w:t>at all times</w:t>
      </w:r>
      <w:proofErr w:type="gramEnd"/>
      <w:r w:rsidRPr="007E45F9">
        <w:rPr>
          <w:lang w:val="en-GB"/>
        </w:rPr>
        <w:t xml:space="preserve"> is consistent with the Group’s overall strategy, its approach to risk, and the Group Corporate Responsibility</w:t>
      </w:r>
    </w:p>
    <w:p w14:paraId="3E719C20" w14:textId="77777777" w:rsidR="00D81F48" w:rsidRPr="007E45F9" w:rsidRDefault="00D81F48" w:rsidP="00D81F48">
      <w:pPr>
        <w:pStyle w:val="ListParagraph"/>
        <w:rPr>
          <w:lang w:val="en-GB"/>
        </w:rPr>
      </w:pPr>
    </w:p>
    <w:p w14:paraId="3E719C21" w14:textId="4037C58C" w:rsidR="0033731A" w:rsidRPr="007E45F9" w:rsidRDefault="0033731A" w:rsidP="00676FFA">
      <w:pPr>
        <w:pStyle w:val="ListParagraph"/>
        <w:numPr>
          <w:ilvl w:val="0"/>
          <w:numId w:val="21"/>
        </w:numPr>
        <w:rPr>
          <w:lang w:val="en-GB"/>
        </w:rPr>
      </w:pPr>
      <w:r w:rsidRPr="007E45F9">
        <w:rPr>
          <w:lang w:val="en-GB"/>
        </w:rPr>
        <w:t xml:space="preserve">Apply professional diligence and care in the management of all risk related to tax matters, and ensure </w:t>
      </w:r>
      <w:r w:rsidR="00726C49">
        <w:rPr>
          <w:lang w:val="en-GB"/>
        </w:rPr>
        <w:t xml:space="preserve">that </w:t>
      </w:r>
      <w:r w:rsidRPr="007E45F9">
        <w:rPr>
          <w:lang w:val="en-GB"/>
        </w:rPr>
        <w:t>governance and assurance procedures are appropriate</w:t>
      </w:r>
    </w:p>
    <w:p w14:paraId="3E719C22" w14:textId="77777777" w:rsidR="00D81F48" w:rsidRPr="007E45F9" w:rsidRDefault="00D81F48" w:rsidP="00D81F48">
      <w:pPr>
        <w:rPr>
          <w:lang w:val="en-GB"/>
        </w:rPr>
      </w:pPr>
    </w:p>
    <w:p w14:paraId="3E719C23" w14:textId="458946D1" w:rsidR="00D81F48" w:rsidRPr="007E45F9" w:rsidRDefault="00D81F48" w:rsidP="00676FFA">
      <w:pPr>
        <w:pStyle w:val="ListParagraph"/>
        <w:numPr>
          <w:ilvl w:val="0"/>
          <w:numId w:val="21"/>
        </w:numPr>
        <w:rPr>
          <w:lang w:val="en-GB"/>
        </w:rPr>
      </w:pPr>
      <w:r w:rsidRPr="007E45F9">
        <w:rPr>
          <w:lang w:val="en-GB"/>
        </w:rPr>
        <w:t>Use incentives and reli</w:t>
      </w:r>
      <w:r w:rsidR="00726C49">
        <w:rPr>
          <w:lang w:val="en-GB"/>
        </w:rPr>
        <w:t>ef</w:t>
      </w:r>
      <w:r w:rsidRPr="007E45F9">
        <w:rPr>
          <w:lang w:val="en-GB"/>
        </w:rPr>
        <w:t>s to minimize the tax costs when conducting business activities, but not for purposes which are knowingly contradictory to the intent of the legislation</w:t>
      </w:r>
    </w:p>
    <w:p w14:paraId="3E719C24" w14:textId="77777777" w:rsidR="00D81F48" w:rsidRPr="007E45F9" w:rsidRDefault="00D81F48" w:rsidP="00D81F48">
      <w:pPr>
        <w:pStyle w:val="ListParagraph"/>
        <w:rPr>
          <w:lang w:val="en-GB"/>
        </w:rPr>
      </w:pPr>
    </w:p>
    <w:p w14:paraId="3E719C25" w14:textId="38C6AD89" w:rsidR="0033731A" w:rsidRDefault="0033731A" w:rsidP="00676FFA">
      <w:pPr>
        <w:pStyle w:val="ListParagraph"/>
        <w:numPr>
          <w:ilvl w:val="0"/>
          <w:numId w:val="21"/>
        </w:numPr>
        <w:rPr>
          <w:lang w:val="en-GB"/>
        </w:rPr>
      </w:pPr>
      <w:r w:rsidRPr="007E45F9">
        <w:rPr>
          <w:lang w:val="en-GB"/>
        </w:rPr>
        <w:t>Foster constructive, professional and transparent</w:t>
      </w:r>
      <w:r w:rsidR="00D81F48" w:rsidRPr="007E45F9">
        <w:rPr>
          <w:lang w:val="en-GB"/>
        </w:rPr>
        <w:t xml:space="preserve"> relationships with tax authorities, based on the concept of integrity, collaboration and mutual trust.</w:t>
      </w:r>
    </w:p>
    <w:p w14:paraId="3B73319C" w14:textId="77777777" w:rsidR="00E2098E" w:rsidRPr="00F05223" w:rsidRDefault="00E2098E" w:rsidP="00E2098E">
      <w:pPr>
        <w:pStyle w:val="ListParagraph"/>
        <w:rPr>
          <w:lang w:val="en-GB"/>
        </w:rPr>
      </w:pPr>
    </w:p>
    <w:p w14:paraId="38FC2062" w14:textId="538C0258" w:rsidR="00E2098E" w:rsidRPr="00F05223" w:rsidRDefault="00E2098E" w:rsidP="00676FFA">
      <w:pPr>
        <w:pStyle w:val="ListParagraph"/>
        <w:numPr>
          <w:ilvl w:val="0"/>
          <w:numId w:val="21"/>
        </w:numPr>
        <w:rPr>
          <w:lang w:val="en-GB"/>
        </w:rPr>
      </w:pPr>
      <w:proofErr w:type="gramStart"/>
      <w:r w:rsidRPr="00F05223">
        <w:rPr>
          <w:lang w:val="en-GB"/>
        </w:rPr>
        <w:t>Enter into</w:t>
      </w:r>
      <w:proofErr w:type="gramEnd"/>
      <w:r w:rsidRPr="00F05223">
        <w:rPr>
          <w:lang w:val="en-GB"/>
        </w:rPr>
        <w:t xml:space="preserve"> </w:t>
      </w:r>
      <w:r w:rsidR="00DE1008" w:rsidRPr="00F05223">
        <w:rPr>
          <w:lang w:val="en-GB"/>
        </w:rPr>
        <w:t xml:space="preserve">intra-group </w:t>
      </w:r>
      <w:r w:rsidRPr="00F05223">
        <w:rPr>
          <w:lang w:val="en-GB"/>
        </w:rPr>
        <w:t>transactions on arm’s length terms</w:t>
      </w:r>
    </w:p>
    <w:p w14:paraId="47D9F14A" w14:textId="77777777" w:rsidR="00DE1008" w:rsidRPr="00F05223" w:rsidRDefault="00DE1008" w:rsidP="00DE1008">
      <w:pPr>
        <w:pStyle w:val="ListParagraph"/>
        <w:rPr>
          <w:lang w:val="en-GB"/>
        </w:rPr>
      </w:pPr>
    </w:p>
    <w:p w14:paraId="3D42D45E" w14:textId="328A5FB2" w:rsidR="00DE1008" w:rsidRPr="00F05223" w:rsidRDefault="00DE1008" w:rsidP="00676FFA">
      <w:pPr>
        <w:pStyle w:val="ListParagraph"/>
        <w:numPr>
          <w:ilvl w:val="0"/>
          <w:numId w:val="21"/>
        </w:numPr>
        <w:rPr>
          <w:lang w:val="en-GB"/>
        </w:rPr>
      </w:pPr>
      <w:r w:rsidRPr="00F05223">
        <w:rPr>
          <w:lang w:val="en-GB"/>
        </w:rPr>
        <w:t xml:space="preserve">Commit not to transfer value to low-tax jurisdictions </w:t>
      </w:r>
      <w:r w:rsidR="00253F32" w:rsidRPr="00F05223">
        <w:rPr>
          <w:lang w:val="en-GB"/>
        </w:rPr>
        <w:t xml:space="preserve">or tax havens </w:t>
      </w:r>
      <w:r w:rsidRPr="00F05223">
        <w:rPr>
          <w:lang w:val="en-GB"/>
        </w:rPr>
        <w:t>without a business rationale and necessary substance</w:t>
      </w:r>
    </w:p>
    <w:p w14:paraId="3E719C26" w14:textId="77777777" w:rsidR="00D81F48" w:rsidRPr="00F05223" w:rsidRDefault="00D81F48" w:rsidP="00D81F48">
      <w:pPr>
        <w:pStyle w:val="ListParagraph"/>
        <w:rPr>
          <w:lang w:val="en-GB"/>
        </w:rPr>
      </w:pPr>
    </w:p>
    <w:p w14:paraId="3E719C27" w14:textId="77777777" w:rsidR="00D81F48" w:rsidRPr="007E45F9" w:rsidRDefault="00D81F48" w:rsidP="00D81F48">
      <w:pPr>
        <w:rPr>
          <w:b/>
          <w:lang w:val="en-GB"/>
        </w:rPr>
      </w:pPr>
    </w:p>
    <w:p w14:paraId="3E719C28" w14:textId="77777777" w:rsidR="00D81F48" w:rsidRPr="007E45F9" w:rsidRDefault="00D81F48" w:rsidP="00D81F48">
      <w:pPr>
        <w:rPr>
          <w:lang w:val="en-GB"/>
        </w:rPr>
      </w:pPr>
      <w:r w:rsidRPr="007E45F9">
        <w:rPr>
          <w:b/>
          <w:lang w:val="en-GB"/>
        </w:rPr>
        <w:t>3.0 Group Tax Code of Conduct</w:t>
      </w:r>
    </w:p>
    <w:p w14:paraId="3E719C29" w14:textId="77777777" w:rsidR="00D81F48" w:rsidRPr="007E45F9" w:rsidRDefault="00D81F48" w:rsidP="00D81F48">
      <w:pPr>
        <w:rPr>
          <w:lang w:val="en-GB"/>
        </w:rPr>
      </w:pPr>
    </w:p>
    <w:p w14:paraId="3E719C2A" w14:textId="5D521C0E" w:rsidR="00760ABA" w:rsidRPr="007E45F9" w:rsidRDefault="00D81F48" w:rsidP="00D81F48">
      <w:pPr>
        <w:rPr>
          <w:lang w:val="en-GB"/>
        </w:rPr>
      </w:pPr>
      <w:r w:rsidRPr="007E45F9">
        <w:rPr>
          <w:lang w:val="en-GB"/>
        </w:rPr>
        <w:t>This Group Tax Code of Conduct outlines</w:t>
      </w:r>
      <w:r w:rsidR="00285939" w:rsidRPr="007E45F9">
        <w:rPr>
          <w:lang w:val="en-GB"/>
        </w:rPr>
        <w:t xml:space="preserve"> the detailed principles setting out how the management of </w:t>
      </w:r>
      <w:r w:rsidR="00BE62E2">
        <w:rPr>
          <w:lang w:val="en-GB"/>
        </w:rPr>
        <w:t xml:space="preserve">the </w:t>
      </w:r>
      <w:r w:rsidR="00285939" w:rsidRPr="007E45F9">
        <w:rPr>
          <w:lang w:val="en-GB"/>
        </w:rPr>
        <w:t xml:space="preserve">Orkla Group shall operate with respect to tax matters when supporting the above Group Tax Policy. </w:t>
      </w:r>
      <w:r w:rsidR="00135459" w:rsidRPr="007E45F9">
        <w:rPr>
          <w:b/>
          <w:lang w:val="en-GB"/>
        </w:rPr>
        <w:t>Each Group company is responsible for conducting its tax affairs in accordance with the Group Tax Code of Conduct.</w:t>
      </w:r>
      <w:r w:rsidR="00135459" w:rsidRPr="007E45F9">
        <w:rPr>
          <w:lang w:val="en-GB"/>
        </w:rPr>
        <w:t xml:space="preserve"> The Group Tax </w:t>
      </w:r>
      <w:r w:rsidR="00EA248F">
        <w:rPr>
          <w:lang w:val="en-GB"/>
        </w:rPr>
        <w:t>T</w:t>
      </w:r>
      <w:r w:rsidR="00135459" w:rsidRPr="007E45F9">
        <w:rPr>
          <w:lang w:val="en-GB"/>
        </w:rPr>
        <w:t xml:space="preserve">eam is the main tax knowledge resource for the </w:t>
      </w:r>
      <w:r w:rsidR="00694C70">
        <w:rPr>
          <w:lang w:val="en-GB"/>
        </w:rPr>
        <w:t>G</w:t>
      </w:r>
      <w:r w:rsidR="00135459" w:rsidRPr="007E45F9">
        <w:rPr>
          <w:lang w:val="en-GB"/>
        </w:rPr>
        <w:t xml:space="preserve">roup </w:t>
      </w:r>
      <w:r w:rsidR="00760ABA" w:rsidRPr="007E45F9">
        <w:rPr>
          <w:lang w:val="en-GB"/>
        </w:rPr>
        <w:t>and</w:t>
      </w:r>
      <w:r w:rsidR="00331B90" w:rsidRPr="007E45F9">
        <w:rPr>
          <w:lang w:val="en-GB"/>
        </w:rPr>
        <w:t xml:space="preserve"> shall monitor </w:t>
      </w:r>
      <w:r w:rsidR="00EA248F">
        <w:rPr>
          <w:lang w:val="en-GB"/>
        </w:rPr>
        <w:t>substantial</w:t>
      </w:r>
      <w:r w:rsidR="00521D6E">
        <w:rPr>
          <w:lang w:val="en-GB"/>
        </w:rPr>
        <w:t xml:space="preserve"> </w:t>
      </w:r>
      <w:r w:rsidR="00331B90" w:rsidRPr="007E45F9">
        <w:rPr>
          <w:lang w:val="en-GB"/>
        </w:rPr>
        <w:t>tax risk</w:t>
      </w:r>
      <w:r w:rsidR="00760ABA" w:rsidRPr="007E45F9">
        <w:rPr>
          <w:lang w:val="en-GB"/>
        </w:rPr>
        <w:t xml:space="preserve"> including compliance and tax optimization </w:t>
      </w:r>
      <w:r w:rsidR="00331B90" w:rsidRPr="007E45F9">
        <w:rPr>
          <w:lang w:val="en-GB"/>
        </w:rPr>
        <w:t xml:space="preserve">at a </w:t>
      </w:r>
      <w:r w:rsidR="00694C70">
        <w:rPr>
          <w:lang w:val="en-GB"/>
        </w:rPr>
        <w:t>G</w:t>
      </w:r>
      <w:r w:rsidR="00331B90" w:rsidRPr="007E45F9">
        <w:rPr>
          <w:lang w:val="en-GB"/>
        </w:rPr>
        <w:t>roup level</w:t>
      </w:r>
      <w:r w:rsidR="00EA248F">
        <w:rPr>
          <w:lang w:val="en-GB"/>
        </w:rPr>
        <w:t>. The Group Tax T</w:t>
      </w:r>
      <w:r w:rsidR="00760ABA" w:rsidRPr="007E45F9">
        <w:rPr>
          <w:lang w:val="en-GB"/>
        </w:rPr>
        <w:t>eam will collaborate with the Group</w:t>
      </w:r>
      <w:r w:rsidR="00521D6E">
        <w:rPr>
          <w:lang w:val="en-GB"/>
        </w:rPr>
        <w:t xml:space="preserve"> companies</w:t>
      </w:r>
      <w:r w:rsidR="00760ABA" w:rsidRPr="007E45F9">
        <w:rPr>
          <w:lang w:val="en-GB"/>
        </w:rPr>
        <w:t xml:space="preserve"> to provide guidance and ensure compliance. </w:t>
      </w:r>
    </w:p>
    <w:p w14:paraId="3E719C2D" w14:textId="77777777" w:rsidR="00285939" w:rsidRPr="007E45F9" w:rsidRDefault="00285939" w:rsidP="00D81F48">
      <w:pPr>
        <w:rPr>
          <w:lang w:val="en-GB"/>
        </w:rPr>
      </w:pPr>
    </w:p>
    <w:p w14:paraId="3E719C2E" w14:textId="77777777" w:rsidR="00285939" w:rsidRPr="007E45F9" w:rsidRDefault="00135459" w:rsidP="00285939">
      <w:pPr>
        <w:pStyle w:val="ListParagraph"/>
        <w:numPr>
          <w:ilvl w:val="0"/>
          <w:numId w:val="22"/>
        </w:numPr>
        <w:ind w:left="360"/>
        <w:rPr>
          <w:b/>
          <w:lang w:val="en-GB"/>
        </w:rPr>
      </w:pPr>
      <w:r w:rsidRPr="007E45F9">
        <w:rPr>
          <w:b/>
          <w:lang w:val="en-GB"/>
        </w:rPr>
        <w:t>Comply with all tax regulations and pay what is due</w:t>
      </w:r>
    </w:p>
    <w:p w14:paraId="3E719C2F" w14:textId="67069131" w:rsidR="002832EA" w:rsidRPr="007E45F9" w:rsidRDefault="00BE62E2" w:rsidP="002832EA">
      <w:pPr>
        <w:rPr>
          <w:lang w:val="en-GB"/>
        </w:rPr>
      </w:pPr>
      <w:r>
        <w:rPr>
          <w:lang w:val="en-GB"/>
        </w:rPr>
        <w:t xml:space="preserve">The </w:t>
      </w:r>
      <w:r w:rsidR="00BF6B1D" w:rsidRPr="007E45F9">
        <w:rPr>
          <w:lang w:val="en-GB"/>
        </w:rPr>
        <w:t>Orkla Group shall comply</w:t>
      </w:r>
      <w:r w:rsidR="007E71D8" w:rsidRPr="007E45F9">
        <w:rPr>
          <w:lang w:val="en-GB"/>
        </w:rPr>
        <w:t xml:space="preserve"> with all applicable laws and regulations including reporting, and disclosure obligations in all relevant jurisdictions. </w:t>
      </w:r>
    </w:p>
    <w:p w14:paraId="3E719C30" w14:textId="77777777" w:rsidR="00285939" w:rsidRPr="007E45F9" w:rsidRDefault="00285939" w:rsidP="00285939">
      <w:pPr>
        <w:pStyle w:val="ListParagraph"/>
        <w:rPr>
          <w:b/>
          <w:lang w:val="en-GB"/>
        </w:rPr>
      </w:pPr>
    </w:p>
    <w:p w14:paraId="3E719C31" w14:textId="77777777" w:rsidR="00285939" w:rsidRPr="007E45F9" w:rsidRDefault="00285939" w:rsidP="00285939">
      <w:pPr>
        <w:pStyle w:val="ListParagraph"/>
        <w:numPr>
          <w:ilvl w:val="0"/>
          <w:numId w:val="22"/>
        </w:numPr>
        <w:ind w:left="360"/>
        <w:rPr>
          <w:b/>
          <w:lang w:val="en-GB"/>
        </w:rPr>
      </w:pPr>
      <w:r w:rsidRPr="007E45F9">
        <w:rPr>
          <w:b/>
          <w:lang w:val="en-GB"/>
        </w:rPr>
        <w:t>Consistency with Group strategy</w:t>
      </w:r>
    </w:p>
    <w:p w14:paraId="3E719C32" w14:textId="4AA48B8A" w:rsidR="00285939" w:rsidRPr="007E45F9" w:rsidRDefault="00BF72F9" w:rsidP="00BF72F9">
      <w:pPr>
        <w:rPr>
          <w:lang w:val="en-GB"/>
        </w:rPr>
      </w:pPr>
      <w:r w:rsidRPr="007E45F9">
        <w:rPr>
          <w:lang w:val="en-GB"/>
        </w:rPr>
        <w:t xml:space="preserve">All decisions that may have tax effects </w:t>
      </w:r>
      <w:r w:rsidR="00331B90" w:rsidRPr="007E45F9">
        <w:rPr>
          <w:lang w:val="en-GB"/>
        </w:rPr>
        <w:t>shall be</w:t>
      </w:r>
      <w:r w:rsidRPr="007E45F9">
        <w:rPr>
          <w:lang w:val="en-GB"/>
        </w:rPr>
        <w:t xml:space="preserve"> consistent</w:t>
      </w:r>
      <w:r w:rsidR="00331B90" w:rsidRPr="007E45F9">
        <w:rPr>
          <w:lang w:val="en-GB"/>
        </w:rPr>
        <w:t xml:space="preserve"> with and complement the Group</w:t>
      </w:r>
      <w:r w:rsidR="00BE62E2">
        <w:rPr>
          <w:lang w:val="en-GB"/>
        </w:rPr>
        <w:t>’s</w:t>
      </w:r>
      <w:r w:rsidR="00331B90" w:rsidRPr="007E45F9">
        <w:rPr>
          <w:lang w:val="en-GB"/>
        </w:rPr>
        <w:t xml:space="preserve"> overall strategy. Key business decisions </w:t>
      </w:r>
      <w:r w:rsidR="00C47AC5">
        <w:rPr>
          <w:lang w:val="en-GB"/>
        </w:rPr>
        <w:t xml:space="preserve">made </w:t>
      </w:r>
      <w:r w:rsidR="00331B90" w:rsidRPr="00EA248F">
        <w:rPr>
          <w:sz w:val="22"/>
          <w:lang w:val="en-GB"/>
        </w:rPr>
        <w:t>shall</w:t>
      </w:r>
      <w:r w:rsidR="00331B90" w:rsidRPr="007E45F9">
        <w:rPr>
          <w:lang w:val="en-GB"/>
        </w:rPr>
        <w:t xml:space="preserve"> be </w:t>
      </w:r>
      <w:r w:rsidR="00EA248F">
        <w:rPr>
          <w:lang w:val="en-GB"/>
        </w:rPr>
        <w:t>conscious</w:t>
      </w:r>
      <w:r w:rsidR="00331B90" w:rsidRPr="007E45F9">
        <w:rPr>
          <w:lang w:val="en-GB"/>
        </w:rPr>
        <w:t xml:space="preserve"> of the tax consequences and with the aim to optimiz</w:t>
      </w:r>
      <w:r w:rsidR="00EA248F">
        <w:rPr>
          <w:lang w:val="en-GB"/>
        </w:rPr>
        <w:t>e</w:t>
      </w:r>
      <w:r w:rsidR="00331B90" w:rsidRPr="007E45F9">
        <w:rPr>
          <w:lang w:val="en-GB"/>
        </w:rPr>
        <w:t xml:space="preserve"> the after-tax returns for the Group’s shareholders.</w:t>
      </w:r>
    </w:p>
    <w:p w14:paraId="3E719C33" w14:textId="77777777" w:rsidR="00331B90" w:rsidRPr="007E45F9" w:rsidRDefault="00331B90" w:rsidP="00BF72F9">
      <w:pPr>
        <w:rPr>
          <w:lang w:val="en-GB"/>
        </w:rPr>
      </w:pPr>
    </w:p>
    <w:p w14:paraId="3E719C34" w14:textId="77777777" w:rsidR="00285939" w:rsidRPr="007E45F9" w:rsidRDefault="00285939" w:rsidP="00285939">
      <w:pPr>
        <w:pStyle w:val="ListParagraph"/>
        <w:numPr>
          <w:ilvl w:val="0"/>
          <w:numId w:val="22"/>
        </w:numPr>
        <w:ind w:left="360"/>
        <w:rPr>
          <w:b/>
          <w:lang w:val="en-GB"/>
        </w:rPr>
      </w:pPr>
      <w:r w:rsidRPr="007E45F9">
        <w:rPr>
          <w:b/>
          <w:lang w:val="en-GB"/>
        </w:rPr>
        <w:t>Governance, Assurance and Tax Risk Management</w:t>
      </w:r>
    </w:p>
    <w:p w14:paraId="3E719C35" w14:textId="679A6FCB" w:rsidR="00C6371F" w:rsidRPr="007E45F9" w:rsidRDefault="00020951" w:rsidP="00020951">
      <w:pPr>
        <w:rPr>
          <w:lang w:val="en-GB"/>
        </w:rPr>
      </w:pPr>
      <w:r w:rsidRPr="007E45F9">
        <w:rPr>
          <w:lang w:val="en-GB"/>
        </w:rPr>
        <w:t xml:space="preserve">Each Group company is responsible for conducting its tax affairs in accordance with the Group Tax Code of Conduct and for implementing internal procedures as necessary to secure such compliance. Decisions with tax implications shall be taken at an appropriate level and in accordance with the </w:t>
      </w:r>
      <w:r w:rsidR="008B5BB3" w:rsidRPr="007E45F9">
        <w:rPr>
          <w:lang w:val="en-GB"/>
        </w:rPr>
        <w:t xml:space="preserve">Group Authorization </w:t>
      </w:r>
      <w:r w:rsidR="00EA248F">
        <w:rPr>
          <w:lang w:val="en-GB"/>
        </w:rPr>
        <w:t>M</w:t>
      </w:r>
      <w:r w:rsidR="008B5BB3" w:rsidRPr="007E45F9">
        <w:rPr>
          <w:lang w:val="en-GB"/>
        </w:rPr>
        <w:t>atrix.</w:t>
      </w:r>
    </w:p>
    <w:p w14:paraId="3E719C36" w14:textId="77777777" w:rsidR="00C6371F" w:rsidRPr="007E45F9" w:rsidRDefault="00C6371F" w:rsidP="00020951">
      <w:pPr>
        <w:rPr>
          <w:lang w:val="en-GB"/>
        </w:rPr>
      </w:pPr>
    </w:p>
    <w:p w14:paraId="3E719C37" w14:textId="17456C22" w:rsidR="00285939" w:rsidRPr="007E45F9" w:rsidRDefault="00C6371F" w:rsidP="00020951">
      <w:pPr>
        <w:rPr>
          <w:lang w:val="en-GB"/>
        </w:rPr>
      </w:pPr>
      <w:r w:rsidRPr="007E45F9">
        <w:rPr>
          <w:lang w:val="en-GB"/>
        </w:rPr>
        <w:t>Diligent</w:t>
      </w:r>
      <w:r w:rsidR="00B1001C">
        <w:rPr>
          <w:lang w:val="en-GB"/>
        </w:rPr>
        <w:t>,</w:t>
      </w:r>
      <w:r w:rsidRPr="007E45F9">
        <w:rPr>
          <w:lang w:val="en-GB"/>
        </w:rPr>
        <w:t xml:space="preserve"> professional judgement </w:t>
      </w:r>
      <w:r w:rsidR="00B1001C">
        <w:rPr>
          <w:lang w:val="en-GB"/>
        </w:rPr>
        <w:t>shall</w:t>
      </w:r>
      <w:r w:rsidRPr="007E45F9">
        <w:rPr>
          <w:lang w:val="en-GB"/>
        </w:rPr>
        <w:t xml:space="preserve"> be employed to assess tax risks in order to make well-reasoned decisions on how the risk shall be managed. Where there is </w:t>
      </w:r>
      <w:r w:rsidR="00B1001C">
        <w:rPr>
          <w:lang w:val="en-GB"/>
        </w:rPr>
        <w:t xml:space="preserve">identified </w:t>
      </w:r>
      <w:r w:rsidRPr="007E45F9">
        <w:rPr>
          <w:lang w:val="en-GB"/>
        </w:rPr>
        <w:t>uncertainty as to the application of tax legislation, appropriate written advice evidencing the facts, risks and conclusi</w:t>
      </w:r>
      <w:r w:rsidR="00EA248F">
        <w:rPr>
          <w:lang w:val="en-GB"/>
        </w:rPr>
        <w:t xml:space="preserve">on may be taken from </w:t>
      </w:r>
      <w:r w:rsidR="00BE62E2">
        <w:rPr>
          <w:lang w:val="en-GB"/>
        </w:rPr>
        <w:t xml:space="preserve">the </w:t>
      </w:r>
      <w:r w:rsidR="00EA248F">
        <w:rPr>
          <w:lang w:val="en-GB"/>
        </w:rPr>
        <w:t>Group Tax T</w:t>
      </w:r>
      <w:r w:rsidRPr="007E45F9">
        <w:rPr>
          <w:lang w:val="en-GB"/>
        </w:rPr>
        <w:t xml:space="preserve">eam or from external advisors to support the </w:t>
      </w:r>
      <w:r w:rsidR="00883872" w:rsidRPr="007E45F9">
        <w:rPr>
          <w:lang w:val="en-GB"/>
        </w:rPr>
        <w:t>decision-making</w:t>
      </w:r>
      <w:r w:rsidRPr="007E45F9">
        <w:rPr>
          <w:lang w:val="en-GB"/>
        </w:rPr>
        <w:t xml:space="preserve"> process.</w:t>
      </w:r>
    </w:p>
    <w:p w14:paraId="3E719C38" w14:textId="77777777" w:rsidR="00C6371F" w:rsidRPr="007E45F9" w:rsidRDefault="00C6371F" w:rsidP="00020951">
      <w:pPr>
        <w:rPr>
          <w:lang w:val="en-GB"/>
        </w:rPr>
      </w:pPr>
    </w:p>
    <w:p w14:paraId="3E719C39" w14:textId="77777777" w:rsidR="00C6371F" w:rsidRPr="007E45F9" w:rsidRDefault="00C6371F" w:rsidP="00020951">
      <w:pPr>
        <w:rPr>
          <w:lang w:val="en-GB"/>
        </w:rPr>
      </w:pPr>
      <w:r w:rsidRPr="007E45F9">
        <w:rPr>
          <w:lang w:val="en-GB"/>
        </w:rPr>
        <w:t xml:space="preserve">In reviewing </w:t>
      </w:r>
      <w:r w:rsidR="00E918B9" w:rsidRPr="007E45F9">
        <w:rPr>
          <w:lang w:val="en-GB"/>
        </w:rPr>
        <w:t>the tax risks of an action or decision, the following should be considered:</w:t>
      </w:r>
    </w:p>
    <w:p w14:paraId="3E719C3A" w14:textId="5A142E65" w:rsidR="00E918B9" w:rsidRPr="007E45F9" w:rsidRDefault="00E918B9" w:rsidP="00E918B9">
      <w:pPr>
        <w:pStyle w:val="ListParagraph"/>
        <w:numPr>
          <w:ilvl w:val="0"/>
          <w:numId w:val="23"/>
        </w:numPr>
        <w:rPr>
          <w:lang w:val="en-GB"/>
        </w:rPr>
      </w:pPr>
      <w:r w:rsidRPr="007E45F9">
        <w:rPr>
          <w:lang w:val="en-GB"/>
        </w:rPr>
        <w:t>The maintenance of the Group</w:t>
      </w:r>
      <w:r w:rsidR="00BE62E2">
        <w:rPr>
          <w:lang w:val="en-GB"/>
        </w:rPr>
        <w:t>’s</w:t>
      </w:r>
      <w:r w:rsidRPr="007E45F9">
        <w:rPr>
          <w:lang w:val="en-GB"/>
        </w:rPr>
        <w:t xml:space="preserve"> reputation with a particular regard to the Group</w:t>
      </w:r>
      <w:r w:rsidR="00C47AC5">
        <w:rPr>
          <w:lang w:val="en-GB"/>
        </w:rPr>
        <w:t>’</w:t>
      </w:r>
      <w:r w:rsidRPr="007E45F9">
        <w:rPr>
          <w:lang w:val="en-GB"/>
        </w:rPr>
        <w:t>s Code of Conduct and Corporate Responsibility.</w:t>
      </w:r>
    </w:p>
    <w:p w14:paraId="3E719C3B" w14:textId="614DA317" w:rsidR="00E918B9" w:rsidRPr="007E45F9" w:rsidRDefault="00E918B9" w:rsidP="00E918B9">
      <w:pPr>
        <w:pStyle w:val="ListParagraph"/>
        <w:numPr>
          <w:ilvl w:val="0"/>
          <w:numId w:val="23"/>
        </w:numPr>
        <w:rPr>
          <w:lang w:val="en-GB"/>
        </w:rPr>
      </w:pPr>
      <w:r w:rsidRPr="007E45F9">
        <w:rPr>
          <w:lang w:val="en-GB"/>
        </w:rPr>
        <w:t>The tax benefits and the impact on the Group</w:t>
      </w:r>
      <w:r w:rsidR="00C47AC5">
        <w:rPr>
          <w:lang w:val="en-GB"/>
        </w:rPr>
        <w:t>’</w:t>
      </w:r>
      <w:r w:rsidRPr="007E45F9">
        <w:rPr>
          <w:lang w:val="en-GB"/>
        </w:rPr>
        <w:t>s reported result compar</w:t>
      </w:r>
      <w:r w:rsidR="00B1001C">
        <w:rPr>
          <w:lang w:val="en-GB"/>
        </w:rPr>
        <w:t>ed</w:t>
      </w:r>
      <w:r w:rsidRPr="007E45F9">
        <w:rPr>
          <w:lang w:val="en-GB"/>
        </w:rPr>
        <w:t xml:space="preserve"> to the potential financial costs including the risk of penalties and interest.</w:t>
      </w:r>
    </w:p>
    <w:p w14:paraId="3E719C3D" w14:textId="359E42AC" w:rsidR="00FD2E8A" w:rsidRDefault="00E918B9" w:rsidP="00F033CA">
      <w:pPr>
        <w:pStyle w:val="ListParagraph"/>
        <w:numPr>
          <w:ilvl w:val="0"/>
          <w:numId w:val="23"/>
        </w:numPr>
        <w:rPr>
          <w:lang w:val="en-GB"/>
        </w:rPr>
      </w:pPr>
      <w:r w:rsidRPr="00B1001C">
        <w:rPr>
          <w:lang w:val="en-GB"/>
        </w:rPr>
        <w:lastRenderedPageBreak/>
        <w:t xml:space="preserve">The consequences of potential material disagreement with tax authorities </w:t>
      </w:r>
    </w:p>
    <w:p w14:paraId="1370960E" w14:textId="77777777" w:rsidR="00C47AC5" w:rsidRPr="00B1001C" w:rsidRDefault="00C47AC5" w:rsidP="00694C70">
      <w:pPr>
        <w:pStyle w:val="ListParagraph"/>
        <w:rPr>
          <w:lang w:val="en-GB"/>
        </w:rPr>
      </w:pPr>
    </w:p>
    <w:p w14:paraId="3E719C3E" w14:textId="31D2CCF9" w:rsidR="00FE7968" w:rsidRPr="007E45F9" w:rsidRDefault="00C47AC5" w:rsidP="00340D86">
      <w:pPr>
        <w:rPr>
          <w:lang w:val="en-GB"/>
        </w:rPr>
      </w:pPr>
      <w:r>
        <w:rPr>
          <w:lang w:val="en-GB"/>
        </w:rPr>
        <w:t xml:space="preserve">The </w:t>
      </w:r>
      <w:r w:rsidR="00340D86" w:rsidRPr="007E45F9">
        <w:rPr>
          <w:lang w:val="en-GB"/>
        </w:rPr>
        <w:t xml:space="preserve">Group Tax </w:t>
      </w:r>
      <w:r w:rsidR="00EA248F">
        <w:rPr>
          <w:lang w:val="en-GB"/>
        </w:rPr>
        <w:t>T</w:t>
      </w:r>
      <w:r w:rsidR="00340D86" w:rsidRPr="007E45F9">
        <w:rPr>
          <w:lang w:val="en-GB"/>
        </w:rPr>
        <w:t xml:space="preserve">eam will on </w:t>
      </w:r>
      <w:r>
        <w:rPr>
          <w:lang w:val="en-GB"/>
        </w:rPr>
        <w:t xml:space="preserve">a </w:t>
      </w:r>
      <w:r w:rsidR="00340D86" w:rsidRPr="007E45F9">
        <w:rPr>
          <w:lang w:val="en-GB"/>
        </w:rPr>
        <w:t>regular basis do tax risk assessments and cooperate with both the business areas and the Group</w:t>
      </w:r>
      <w:r w:rsidR="00B1001C">
        <w:rPr>
          <w:lang w:val="en-GB"/>
        </w:rPr>
        <w:t xml:space="preserve"> companies</w:t>
      </w:r>
      <w:r w:rsidR="00340D86" w:rsidRPr="007E45F9">
        <w:rPr>
          <w:lang w:val="en-GB"/>
        </w:rPr>
        <w:t xml:space="preserve"> to assure that the requirements of the Group Tax </w:t>
      </w:r>
      <w:r w:rsidR="00B1001C">
        <w:rPr>
          <w:lang w:val="en-GB"/>
        </w:rPr>
        <w:t>Strategy</w:t>
      </w:r>
      <w:r w:rsidR="00340D86" w:rsidRPr="007E45F9">
        <w:rPr>
          <w:lang w:val="en-GB"/>
        </w:rPr>
        <w:t xml:space="preserve"> </w:t>
      </w:r>
      <w:r>
        <w:rPr>
          <w:lang w:val="en-GB"/>
        </w:rPr>
        <w:t>are</w:t>
      </w:r>
      <w:r w:rsidR="00340D86" w:rsidRPr="007E45F9">
        <w:rPr>
          <w:lang w:val="en-GB"/>
        </w:rPr>
        <w:t xml:space="preserve"> met. </w:t>
      </w:r>
      <w:r w:rsidR="003853ED" w:rsidRPr="007E45F9">
        <w:rPr>
          <w:lang w:val="en-GB"/>
        </w:rPr>
        <w:t xml:space="preserve">The Group </w:t>
      </w:r>
      <w:r w:rsidR="00B1001C">
        <w:rPr>
          <w:lang w:val="en-GB"/>
        </w:rPr>
        <w:t>companies</w:t>
      </w:r>
      <w:r w:rsidR="003853ED" w:rsidRPr="007E45F9">
        <w:rPr>
          <w:lang w:val="en-GB"/>
        </w:rPr>
        <w:t xml:space="preserve"> shall always </w:t>
      </w:r>
      <w:r w:rsidR="00B1001C">
        <w:rPr>
          <w:lang w:val="en-GB"/>
        </w:rPr>
        <w:t>noti</w:t>
      </w:r>
      <w:r w:rsidR="00726C49">
        <w:rPr>
          <w:lang w:val="en-GB"/>
        </w:rPr>
        <w:t>fy</w:t>
      </w:r>
      <w:r w:rsidR="003853ED" w:rsidRPr="007E45F9">
        <w:rPr>
          <w:lang w:val="en-GB"/>
        </w:rPr>
        <w:t xml:space="preserve"> the </w:t>
      </w:r>
      <w:r w:rsidR="00FE7968" w:rsidRPr="007E45F9">
        <w:rPr>
          <w:lang w:val="en-GB"/>
        </w:rPr>
        <w:t xml:space="preserve">Group Tax </w:t>
      </w:r>
      <w:r w:rsidR="00EA248F">
        <w:rPr>
          <w:lang w:val="en-GB"/>
        </w:rPr>
        <w:t>T</w:t>
      </w:r>
      <w:r w:rsidR="00FE7968" w:rsidRPr="007E45F9">
        <w:rPr>
          <w:lang w:val="en-GB"/>
        </w:rPr>
        <w:t>eam in the following situations:</w:t>
      </w:r>
    </w:p>
    <w:p w14:paraId="3E719C3F" w14:textId="095F74BB" w:rsidR="00FE7968" w:rsidRPr="007E45F9" w:rsidRDefault="00FE7968" w:rsidP="00FE7968">
      <w:pPr>
        <w:pStyle w:val="ListParagraph"/>
        <w:numPr>
          <w:ilvl w:val="0"/>
          <w:numId w:val="24"/>
        </w:numPr>
        <w:rPr>
          <w:lang w:val="en-GB"/>
        </w:rPr>
      </w:pPr>
      <w:r w:rsidRPr="007E45F9">
        <w:rPr>
          <w:lang w:val="en-GB"/>
        </w:rPr>
        <w:t>Purchase or sale of companies or businesses</w:t>
      </w:r>
    </w:p>
    <w:p w14:paraId="3E719C40" w14:textId="0CCE4646" w:rsidR="00FE7968" w:rsidRPr="007E45F9" w:rsidRDefault="00FE7968" w:rsidP="00FE7968">
      <w:pPr>
        <w:pStyle w:val="ListParagraph"/>
        <w:numPr>
          <w:ilvl w:val="0"/>
          <w:numId w:val="24"/>
        </w:numPr>
        <w:rPr>
          <w:lang w:val="en-GB"/>
        </w:rPr>
      </w:pPr>
      <w:r w:rsidRPr="007E45F9">
        <w:rPr>
          <w:lang w:val="en-GB"/>
        </w:rPr>
        <w:t xml:space="preserve">Amendments of the ownership structure of </w:t>
      </w:r>
      <w:r w:rsidR="00694C70">
        <w:rPr>
          <w:lang w:val="en-GB"/>
        </w:rPr>
        <w:t>G</w:t>
      </w:r>
      <w:r w:rsidRPr="007E45F9">
        <w:rPr>
          <w:lang w:val="en-GB"/>
        </w:rPr>
        <w:t xml:space="preserve">roup </w:t>
      </w:r>
      <w:r w:rsidR="00EA248F">
        <w:rPr>
          <w:lang w:val="en-GB"/>
        </w:rPr>
        <w:t>companies</w:t>
      </w:r>
    </w:p>
    <w:p w14:paraId="3E719C41" w14:textId="6A1ED6FF" w:rsidR="00FE7968" w:rsidRPr="007E45F9" w:rsidRDefault="00FE7968" w:rsidP="00FE7968">
      <w:pPr>
        <w:pStyle w:val="ListParagraph"/>
        <w:numPr>
          <w:ilvl w:val="0"/>
          <w:numId w:val="24"/>
        </w:numPr>
        <w:rPr>
          <w:lang w:val="en-GB"/>
        </w:rPr>
      </w:pPr>
      <w:r w:rsidRPr="007E45F9">
        <w:rPr>
          <w:lang w:val="en-GB"/>
        </w:rPr>
        <w:t xml:space="preserve">Mergers or demergers (split) of </w:t>
      </w:r>
      <w:r w:rsidR="00694C70">
        <w:rPr>
          <w:lang w:val="en-GB"/>
        </w:rPr>
        <w:t>G</w:t>
      </w:r>
      <w:r w:rsidRPr="007E45F9">
        <w:rPr>
          <w:lang w:val="en-GB"/>
        </w:rPr>
        <w:t xml:space="preserve">roup </w:t>
      </w:r>
      <w:r w:rsidR="00EA248F">
        <w:rPr>
          <w:lang w:val="en-GB"/>
        </w:rPr>
        <w:t>companies</w:t>
      </w:r>
    </w:p>
    <w:p w14:paraId="3E719C42" w14:textId="52F3DCD6" w:rsidR="00FE7968" w:rsidRPr="007E45F9" w:rsidRDefault="00FE7968" w:rsidP="00FE7968">
      <w:pPr>
        <w:pStyle w:val="ListParagraph"/>
        <w:numPr>
          <w:ilvl w:val="0"/>
          <w:numId w:val="24"/>
        </w:numPr>
        <w:rPr>
          <w:lang w:val="en-GB"/>
        </w:rPr>
      </w:pPr>
      <w:r w:rsidRPr="007E45F9">
        <w:rPr>
          <w:lang w:val="en-GB"/>
        </w:rPr>
        <w:t>Notices about planned tax audits</w:t>
      </w:r>
      <w:r w:rsidR="00D9320C">
        <w:rPr>
          <w:lang w:val="en-GB"/>
        </w:rPr>
        <w:t xml:space="preserve"> or assessments</w:t>
      </w:r>
      <w:r w:rsidR="00D9320C" w:rsidRPr="007E45F9">
        <w:rPr>
          <w:lang w:val="en-GB"/>
        </w:rPr>
        <w:t>, which</w:t>
      </w:r>
      <w:r w:rsidR="000E31E0" w:rsidRPr="007E45F9">
        <w:rPr>
          <w:lang w:val="en-GB"/>
        </w:rPr>
        <w:t xml:space="preserve"> potentially could imply </w:t>
      </w:r>
      <w:r w:rsidR="00B1001C">
        <w:rPr>
          <w:lang w:val="en-GB"/>
        </w:rPr>
        <w:t>tax</w:t>
      </w:r>
      <w:r w:rsidR="00D9320C">
        <w:rPr>
          <w:lang w:val="en-GB"/>
        </w:rPr>
        <w:t xml:space="preserve"> adjustments of more than</w:t>
      </w:r>
      <w:r w:rsidR="000E31E0" w:rsidRPr="007E45F9">
        <w:rPr>
          <w:lang w:val="en-GB"/>
        </w:rPr>
        <w:t xml:space="preserve"> </w:t>
      </w:r>
      <w:r w:rsidR="000E31E0" w:rsidRPr="0032365C">
        <w:rPr>
          <w:lang w:val="en-GB"/>
        </w:rPr>
        <w:t xml:space="preserve">EUR </w:t>
      </w:r>
      <w:r w:rsidR="00D9320C" w:rsidRPr="0032365C">
        <w:rPr>
          <w:lang w:val="en-GB"/>
        </w:rPr>
        <w:t>5</w:t>
      </w:r>
      <w:r w:rsidR="000E31E0" w:rsidRPr="0032365C">
        <w:rPr>
          <w:lang w:val="en-GB"/>
        </w:rPr>
        <w:t>00.000</w:t>
      </w:r>
      <w:r w:rsidR="000E31E0" w:rsidRPr="007E45F9">
        <w:rPr>
          <w:lang w:val="en-GB"/>
        </w:rPr>
        <w:t>.</w:t>
      </w:r>
    </w:p>
    <w:p w14:paraId="3E719C43" w14:textId="763AE111" w:rsidR="00951325" w:rsidRPr="007E45F9" w:rsidRDefault="00951325" w:rsidP="00FE7968">
      <w:pPr>
        <w:pStyle w:val="ListParagraph"/>
        <w:numPr>
          <w:ilvl w:val="0"/>
          <w:numId w:val="24"/>
        </w:numPr>
        <w:rPr>
          <w:lang w:val="en-GB"/>
        </w:rPr>
      </w:pPr>
      <w:r w:rsidRPr="007E45F9">
        <w:rPr>
          <w:lang w:val="en-GB"/>
        </w:rPr>
        <w:t xml:space="preserve">All enquiries </w:t>
      </w:r>
      <w:r w:rsidR="00D9320C">
        <w:rPr>
          <w:lang w:val="en-GB"/>
        </w:rPr>
        <w:t xml:space="preserve">by tax authorities </w:t>
      </w:r>
      <w:r w:rsidRPr="007E45F9">
        <w:rPr>
          <w:lang w:val="en-GB"/>
        </w:rPr>
        <w:t>regarding transfer pricing documentation</w:t>
      </w:r>
    </w:p>
    <w:p w14:paraId="3E719C44" w14:textId="2C2E09FC" w:rsidR="00951325" w:rsidRDefault="00951325" w:rsidP="00FE7968">
      <w:pPr>
        <w:pStyle w:val="ListParagraph"/>
        <w:numPr>
          <w:ilvl w:val="0"/>
          <w:numId w:val="24"/>
        </w:numPr>
        <w:rPr>
          <w:lang w:val="en-GB"/>
        </w:rPr>
      </w:pPr>
      <w:r w:rsidRPr="007E45F9">
        <w:rPr>
          <w:lang w:val="en-GB"/>
        </w:rPr>
        <w:t>Significant amendments</w:t>
      </w:r>
      <w:r w:rsidR="00D9320C">
        <w:rPr>
          <w:lang w:val="en-GB"/>
        </w:rPr>
        <w:t xml:space="preserve"> (more that EUR 500.000) </w:t>
      </w:r>
      <w:r w:rsidRPr="007E45F9">
        <w:rPr>
          <w:lang w:val="en-GB"/>
        </w:rPr>
        <w:t xml:space="preserve">of the capital structure of Group </w:t>
      </w:r>
      <w:r w:rsidR="00D9320C">
        <w:rPr>
          <w:lang w:val="en-GB"/>
        </w:rPr>
        <w:t>companies</w:t>
      </w:r>
    </w:p>
    <w:p w14:paraId="3E719C45" w14:textId="2F26CA33" w:rsidR="007E45F9" w:rsidRPr="007E45F9" w:rsidRDefault="00D9320C" w:rsidP="00FE7968">
      <w:pPr>
        <w:pStyle w:val="ListParagraph"/>
        <w:numPr>
          <w:ilvl w:val="0"/>
          <w:numId w:val="24"/>
        </w:numPr>
        <w:rPr>
          <w:lang w:val="en-GB"/>
        </w:rPr>
      </w:pPr>
      <w:r>
        <w:rPr>
          <w:lang w:val="en-GB"/>
        </w:rPr>
        <w:t>Identified u</w:t>
      </w:r>
      <w:r w:rsidR="007E45F9">
        <w:rPr>
          <w:lang w:val="en-GB"/>
        </w:rPr>
        <w:t xml:space="preserve">ncertainty with respect to reporting </w:t>
      </w:r>
      <w:r w:rsidR="000019A6">
        <w:rPr>
          <w:lang w:val="en-GB"/>
        </w:rPr>
        <w:t xml:space="preserve">or </w:t>
      </w:r>
      <w:r w:rsidR="007E45F9">
        <w:rPr>
          <w:lang w:val="en-GB"/>
        </w:rPr>
        <w:t>disclosure</w:t>
      </w:r>
      <w:r w:rsidR="000019A6">
        <w:rPr>
          <w:lang w:val="en-GB"/>
        </w:rPr>
        <w:t xml:space="preserve">s </w:t>
      </w:r>
      <w:r w:rsidR="007E45F9">
        <w:rPr>
          <w:lang w:val="en-GB"/>
        </w:rPr>
        <w:t>in tax returns</w:t>
      </w:r>
      <w:r w:rsidR="000019A6">
        <w:rPr>
          <w:lang w:val="en-GB"/>
        </w:rPr>
        <w:t xml:space="preserve"> or financial statements which potentially imply tax effects larger than EUR 500.000</w:t>
      </w:r>
    </w:p>
    <w:p w14:paraId="3E719C46" w14:textId="77777777" w:rsidR="00951325" w:rsidRPr="007E45F9" w:rsidRDefault="00951325" w:rsidP="00FE7968">
      <w:pPr>
        <w:pStyle w:val="ListParagraph"/>
        <w:numPr>
          <w:ilvl w:val="0"/>
          <w:numId w:val="24"/>
        </w:numPr>
        <w:rPr>
          <w:lang w:val="en-GB"/>
        </w:rPr>
      </w:pPr>
      <w:r w:rsidRPr="007E45F9">
        <w:rPr>
          <w:lang w:val="en-GB"/>
        </w:rPr>
        <w:t>Entering into agreements that attempt to regulate tax is</w:t>
      </w:r>
      <w:r w:rsidR="000A2AC4" w:rsidRPr="007E45F9">
        <w:rPr>
          <w:lang w:val="en-GB"/>
        </w:rPr>
        <w:t>s</w:t>
      </w:r>
      <w:r w:rsidRPr="007E45F9">
        <w:rPr>
          <w:lang w:val="en-GB"/>
        </w:rPr>
        <w:t>ues</w:t>
      </w:r>
    </w:p>
    <w:p w14:paraId="3E719C48" w14:textId="436CEAE1" w:rsidR="00FE7968" w:rsidRPr="007E45F9" w:rsidRDefault="007E45F9" w:rsidP="00FE7968">
      <w:pPr>
        <w:pStyle w:val="ListParagraph"/>
        <w:numPr>
          <w:ilvl w:val="0"/>
          <w:numId w:val="24"/>
        </w:numPr>
        <w:rPr>
          <w:lang w:val="en-GB"/>
        </w:rPr>
      </w:pPr>
      <w:r w:rsidRPr="007E45F9">
        <w:rPr>
          <w:lang w:val="en-GB"/>
        </w:rPr>
        <w:t>Potential e</w:t>
      </w:r>
      <w:r w:rsidR="000A2AC4" w:rsidRPr="007E45F9">
        <w:rPr>
          <w:lang w:val="en-GB"/>
        </w:rPr>
        <w:t>ngagement of external tax advisors where the fee may exceed EUR 20</w:t>
      </w:r>
      <w:r w:rsidR="00C77DDF">
        <w:rPr>
          <w:lang w:val="en-GB"/>
        </w:rPr>
        <w:t> </w:t>
      </w:r>
      <w:r w:rsidR="000A2AC4" w:rsidRPr="007E45F9">
        <w:rPr>
          <w:lang w:val="en-GB"/>
        </w:rPr>
        <w:t xml:space="preserve">000. </w:t>
      </w:r>
      <w:r w:rsidR="00680A7E" w:rsidRPr="007E45F9">
        <w:rPr>
          <w:lang w:val="en-GB"/>
        </w:rPr>
        <w:t xml:space="preserve"> </w:t>
      </w:r>
    </w:p>
    <w:p w14:paraId="3E719C49" w14:textId="77777777" w:rsidR="00951325" w:rsidRPr="007E45F9" w:rsidRDefault="00951325" w:rsidP="00951325">
      <w:pPr>
        <w:rPr>
          <w:lang w:val="en-GB"/>
        </w:rPr>
      </w:pPr>
    </w:p>
    <w:p w14:paraId="3E719C4A" w14:textId="3659B359" w:rsidR="00951325" w:rsidRPr="007E45F9" w:rsidRDefault="00EA248F" w:rsidP="00951325">
      <w:pPr>
        <w:rPr>
          <w:lang w:val="en-GB"/>
        </w:rPr>
      </w:pPr>
      <w:r>
        <w:rPr>
          <w:lang w:val="en-GB"/>
        </w:rPr>
        <w:t>All notices to the Group Tax T</w:t>
      </w:r>
      <w:r w:rsidR="00951325" w:rsidRPr="007E45F9">
        <w:rPr>
          <w:lang w:val="en-GB"/>
        </w:rPr>
        <w:t xml:space="preserve">eam shall be made by e-mail </w:t>
      </w:r>
      <w:r w:rsidR="007E45F9" w:rsidRPr="007E45F9">
        <w:rPr>
          <w:lang w:val="en-GB"/>
        </w:rPr>
        <w:t>and as soon as possible in order to secure the possibility to carefully review tax consequences before any decisions are made.</w:t>
      </w:r>
      <w:r w:rsidR="00951325" w:rsidRPr="007E45F9">
        <w:rPr>
          <w:lang w:val="en-GB"/>
        </w:rPr>
        <w:t xml:space="preserve"> </w:t>
      </w:r>
      <w:r w:rsidR="000A2AC4" w:rsidRPr="007E45F9">
        <w:rPr>
          <w:lang w:val="en-GB"/>
        </w:rPr>
        <w:t>Here is</w:t>
      </w:r>
      <w:r w:rsidR="00951325" w:rsidRPr="007E45F9">
        <w:rPr>
          <w:lang w:val="en-GB"/>
        </w:rPr>
        <w:t xml:space="preserve"> a link to the Group Tax team: [link]. </w:t>
      </w:r>
      <w:r w:rsidR="000A2AC4" w:rsidRPr="007E45F9">
        <w:rPr>
          <w:lang w:val="en-GB"/>
        </w:rPr>
        <w:t>All</w:t>
      </w:r>
      <w:r w:rsidR="00951325" w:rsidRPr="007E45F9">
        <w:rPr>
          <w:lang w:val="en-GB"/>
        </w:rPr>
        <w:t xml:space="preserve"> notice</w:t>
      </w:r>
      <w:r w:rsidR="000A2AC4" w:rsidRPr="007E45F9">
        <w:rPr>
          <w:lang w:val="en-GB"/>
        </w:rPr>
        <w:t>s to the Group Tax team</w:t>
      </w:r>
      <w:r w:rsidR="00951325" w:rsidRPr="007E45F9">
        <w:rPr>
          <w:lang w:val="en-GB"/>
        </w:rPr>
        <w:t xml:space="preserve"> shall be in English or Scandinavian language.</w:t>
      </w:r>
    </w:p>
    <w:p w14:paraId="3E719C4B" w14:textId="77777777" w:rsidR="00951325" w:rsidRPr="007E45F9" w:rsidRDefault="00951325" w:rsidP="00951325">
      <w:pPr>
        <w:rPr>
          <w:lang w:val="en-GB"/>
        </w:rPr>
      </w:pPr>
    </w:p>
    <w:p w14:paraId="3E719C4C" w14:textId="60A515E0" w:rsidR="00FD2E8A" w:rsidRPr="007E45F9" w:rsidRDefault="007E45F9" w:rsidP="007E45F9">
      <w:pPr>
        <w:rPr>
          <w:lang w:val="en-GB"/>
        </w:rPr>
      </w:pPr>
      <w:r>
        <w:rPr>
          <w:lang w:val="en-GB"/>
        </w:rPr>
        <w:t>C</w:t>
      </w:r>
      <w:r w:rsidR="00A30EE0" w:rsidRPr="007E45F9">
        <w:rPr>
          <w:lang w:val="en-GB"/>
        </w:rPr>
        <w:t>ompliance with the Group Tax Policy may be</w:t>
      </w:r>
      <w:r w:rsidR="00D9320C">
        <w:rPr>
          <w:lang w:val="en-GB"/>
        </w:rPr>
        <w:t xml:space="preserve"> included in</w:t>
      </w:r>
      <w:r w:rsidR="00340D86" w:rsidRPr="007E45F9">
        <w:rPr>
          <w:lang w:val="en-GB"/>
        </w:rPr>
        <w:t xml:space="preserve"> audit reviews </w:t>
      </w:r>
      <w:r w:rsidR="00A30EE0" w:rsidRPr="007E45F9">
        <w:rPr>
          <w:lang w:val="en-GB"/>
        </w:rPr>
        <w:t xml:space="preserve">of </w:t>
      </w:r>
      <w:r w:rsidR="003853ED" w:rsidRPr="007E45F9">
        <w:rPr>
          <w:lang w:val="en-GB"/>
        </w:rPr>
        <w:t xml:space="preserve">Group </w:t>
      </w:r>
      <w:r w:rsidR="00D9320C">
        <w:rPr>
          <w:lang w:val="en-GB"/>
        </w:rPr>
        <w:t>companies</w:t>
      </w:r>
      <w:r w:rsidR="00A30EE0" w:rsidRPr="007E45F9">
        <w:rPr>
          <w:lang w:val="en-GB"/>
        </w:rPr>
        <w:t xml:space="preserve"> </w:t>
      </w:r>
      <w:r w:rsidR="00340D86" w:rsidRPr="007E45F9">
        <w:rPr>
          <w:lang w:val="en-GB"/>
        </w:rPr>
        <w:t>by the Group Internal audit.</w:t>
      </w:r>
    </w:p>
    <w:p w14:paraId="3E719C4D" w14:textId="77777777" w:rsidR="003853ED" w:rsidRPr="007E45F9" w:rsidRDefault="003853ED" w:rsidP="00340D86">
      <w:pPr>
        <w:rPr>
          <w:lang w:val="en-GB"/>
        </w:rPr>
      </w:pPr>
    </w:p>
    <w:p w14:paraId="3E719C4E" w14:textId="77777777" w:rsidR="00285939" w:rsidRPr="007E45F9" w:rsidRDefault="00204CF2" w:rsidP="00285939">
      <w:pPr>
        <w:pStyle w:val="ListParagraph"/>
        <w:numPr>
          <w:ilvl w:val="0"/>
          <w:numId w:val="22"/>
        </w:numPr>
        <w:ind w:left="360"/>
        <w:rPr>
          <w:b/>
          <w:lang w:val="en-GB"/>
        </w:rPr>
      </w:pPr>
      <w:r w:rsidRPr="007E45F9">
        <w:rPr>
          <w:b/>
          <w:lang w:val="en-GB"/>
        </w:rPr>
        <w:t xml:space="preserve">Tax </w:t>
      </w:r>
      <w:r w:rsidR="00D555FC" w:rsidRPr="007E45F9">
        <w:rPr>
          <w:b/>
          <w:lang w:val="en-GB"/>
        </w:rPr>
        <w:t>optimization</w:t>
      </w:r>
    </w:p>
    <w:p w14:paraId="3E719C4F" w14:textId="3E3CABCE" w:rsidR="00FD2E8A" w:rsidRDefault="000F2711" w:rsidP="00FD2E8A">
      <w:pPr>
        <w:rPr>
          <w:lang w:val="en-GB"/>
        </w:rPr>
      </w:pPr>
      <w:r>
        <w:rPr>
          <w:lang w:val="en-GB"/>
        </w:rPr>
        <w:t xml:space="preserve">The </w:t>
      </w:r>
      <w:r w:rsidR="00FD2E8A" w:rsidRPr="007E45F9">
        <w:rPr>
          <w:lang w:val="en-GB"/>
        </w:rPr>
        <w:t>Orkla Group shall use legal and acceptable tools and methods to optimize the cash flow effects of all taxes.</w:t>
      </w:r>
      <w:r w:rsidR="00F50F03" w:rsidRPr="007E45F9">
        <w:rPr>
          <w:lang w:val="en-GB"/>
        </w:rPr>
        <w:t xml:space="preserve"> We shall use available incentives and reliefs where possible</w:t>
      </w:r>
      <w:r w:rsidR="000C1139">
        <w:rPr>
          <w:lang w:val="en-GB"/>
        </w:rPr>
        <w:t xml:space="preserve"> including utilization of available tax consolidation opportunities</w:t>
      </w:r>
      <w:r w:rsidR="00D555FC" w:rsidRPr="007E45F9">
        <w:rPr>
          <w:lang w:val="en-GB"/>
        </w:rPr>
        <w:t xml:space="preserve">. If </w:t>
      </w:r>
      <w:r w:rsidR="00BF72F9" w:rsidRPr="007E45F9">
        <w:rPr>
          <w:lang w:val="en-GB"/>
        </w:rPr>
        <w:t xml:space="preserve">the legislation is not clear and </w:t>
      </w:r>
      <w:r w:rsidR="00D555FC" w:rsidRPr="007E45F9">
        <w:rPr>
          <w:lang w:val="en-GB"/>
        </w:rPr>
        <w:t>there are alternative</w:t>
      </w:r>
      <w:r w:rsidR="00F50F03" w:rsidRPr="007E45F9">
        <w:rPr>
          <w:lang w:val="en-GB"/>
        </w:rPr>
        <w:t xml:space="preserve"> </w:t>
      </w:r>
      <w:r w:rsidR="00D555FC" w:rsidRPr="007E45F9">
        <w:rPr>
          <w:lang w:val="en-GB"/>
        </w:rPr>
        <w:t xml:space="preserve">approaches that may result in differing alternative tax outcomes, we shall normally choose the most </w:t>
      </w:r>
      <w:r w:rsidR="007E45F9" w:rsidRPr="007E45F9">
        <w:rPr>
          <w:lang w:val="en-GB"/>
        </w:rPr>
        <w:t>favourable</w:t>
      </w:r>
      <w:r w:rsidR="00D555FC" w:rsidRPr="007E45F9">
        <w:rPr>
          <w:lang w:val="en-GB"/>
        </w:rPr>
        <w:t xml:space="preserve"> alternative. However, </w:t>
      </w:r>
      <w:r w:rsidR="00D9320C">
        <w:rPr>
          <w:lang w:val="en-GB"/>
        </w:rPr>
        <w:t>Orkla</w:t>
      </w:r>
      <w:r w:rsidR="00D555FC" w:rsidRPr="007E45F9">
        <w:rPr>
          <w:lang w:val="en-GB"/>
        </w:rPr>
        <w:t xml:space="preserve"> shall not use tools and methods that are </w:t>
      </w:r>
      <w:r w:rsidR="00760ABA" w:rsidRPr="007E45F9">
        <w:rPr>
          <w:lang w:val="en-GB"/>
        </w:rPr>
        <w:t xml:space="preserve">knowingly </w:t>
      </w:r>
      <w:r w:rsidR="00BF72F9" w:rsidRPr="007E45F9">
        <w:rPr>
          <w:lang w:val="en-GB"/>
        </w:rPr>
        <w:t xml:space="preserve">contrary to the legislation. </w:t>
      </w:r>
    </w:p>
    <w:p w14:paraId="3E719C50" w14:textId="77777777" w:rsidR="000019A6" w:rsidRDefault="000019A6" w:rsidP="00FD2E8A">
      <w:pPr>
        <w:rPr>
          <w:lang w:val="en-GB"/>
        </w:rPr>
      </w:pPr>
    </w:p>
    <w:p w14:paraId="3E719C51" w14:textId="77777777" w:rsidR="000019A6" w:rsidRPr="007E45F9" w:rsidRDefault="00D762FB" w:rsidP="000019A6">
      <w:pPr>
        <w:pStyle w:val="ListParagraph"/>
        <w:numPr>
          <w:ilvl w:val="0"/>
          <w:numId w:val="22"/>
        </w:numPr>
        <w:ind w:left="360"/>
        <w:rPr>
          <w:b/>
          <w:lang w:val="en-GB"/>
        </w:rPr>
      </w:pPr>
      <w:r>
        <w:rPr>
          <w:b/>
          <w:lang w:val="en-GB"/>
        </w:rPr>
        <w:t>Use of external tax consultants</w:t>
      </w:r>
    </w:p>
    <w:p w14:paraId="3E719C52" w14:textId="7B176F85" w:rsidR="000019A6" w:rsidRDefault="00D762FB" w:rsidP="00FD2E8A">
      <w:pPr>
        <w:rPr>
          <w:lang w:val="en-GB"/>
        </w:rPr>
      </w:pPr>
      <w:r>
        <w:rPr>
          <w:lang w:val="en-GB"/>
        </w:rPr>
        <w:t xml:space="preserve">Each group </w:t>
      </w:r>
      <w:r w:rsidR="00D9320C">
        <w:rPr>
          <w:lang w:val="en-GB"/>
        </w:rPr>
        <w:t>company</w:t>
      </w:r>
      <w:r>
        <w:rPr>
          <w:lang w:val="en-GB"/>
        </w:rPr>
        <w:t xml:space="preserve"> must carefully consider the need for support from external tax advisors in order to comply with relevant legislation and </w:t>
      </w:r>
      <w:r w:rsidR="00BE62E2">
        <w:rPr>
          <w:lang w:val="en-GB"/>
        </w:rPr>
        <w:t xml:space="preserve">the </w:t>
      </w:r>
      <w:r>
        <w:rPr>
          <w:lang w:val="en-GB"/>
        </w:rPr>
        <w:t>Orkla Group Tax Strategy. When considering the use of external tax advisors, management shall have in mind that:</w:t>
      </w:r>
    </w:p>
    <w:p w14:paraId="3E719C53" w14:textId="55313940" w:rsidR="00D762FB" w:rsidRDefault="00D762FB" w:rsidP="00D762FB">
      <w:pPr>
        <w:pStyle w:val="ListParagraph"/>
        <w:numPr>
          <w:ilvl w:val="0"/>
          <w:numId w:val="25"/>
        </w:numPr>
        <w:rPr>
          <w:lang w:val="en-GB"/>
        </w:rPr>
      </w:pPr>
      <w:r>
        <w:rPr>
          <w:lang w:val="en-GB"/>
        </w:rPr>
        <w:t xml:space="preserve">The Group Tax </w:t>
      </w:r>
      <w:r w:rsidR="00EA248F">
        <w:rPr>
          <w:lang w:val="en-GB"/>
        </w:rPr>
        <w:t>T</w:t>
      </w:r>
      <w:r>
        <w:rPr>
          <w:lang w:val="en-GB"/>
        </w:rPr>
        <w:t>eam may be able to assist</w:t>
      </w:r>
      <w:r w:rsidR="006F378C">
        <w:rPr>
          <w:lang w:val="en-GB"/>
        </w:rPr>
        <w:t xml:space="preserve"> in managing external tax advisors</w:t>
      </w:r>
    </w:p>
    <w:p w14:paraId="3E719C54" w14:textId="77777777" w:rsidR="00D762FB" w:rsidRDefault="00D762FB" w:rsidP="00D762FB">
      <w:pPr>
        <w:pStyle w:val="ListParagraph"/>
        <w:numPr>
          <w:ilvl w:val="0"/>
          <w:numId w:val="25"/>
        </w:numPr>
        <w:rPr>
          <w:lang w:val="en-GB"/>
        </w:rPr>
      </w:pPr>
      <w:r>
        <w:rPr>
          <w:lang w:val="en-GB"/>
        </w:rPr>
        <w:t xml:space="preserve">You may request advice or rulings from the tax authorities </w:t>
      </w:r>
    </w:p>
    <w:p w14:paraId="3E719C55" w14:textId="47D40D26" w:rsidR="00D762FB" w:rsidRDefault="00D762FB" w:rsidP="00D762FB">
      <w:pPr>
        <w:pStyle w:val="ListParagraph"/>
        <w:numPr>
          <w:ilvl w:val="0"/>
          <w:numId w:val="25"/>
        </w:numPr>
        <w:rPr>
          <w:lang w:val="en-GB"/>
        </w:rPr>
      </w:pPr>
      <w:r>
        <w:rPr>
          <w:lang w:val="en-GB"/>
        </w:rPr>
        <w:t>Any advice should be provid</w:t>
      </w:r>
      <w:r w:rsidR="00CF12DB">
        <w:rPr>
          <w:lang w:val="en-GB"/>
        </w:rPr>
        <w:t>ed</w:t>
      </w:r>
      <w:r>
        <w:rPr>
          <w:lang w:val="en-GB"/>
        </w:rPr>
        <w:t xml:space="preserve"> in writing and based on complete and </w:t>
      </w:r>
      <w:r w:rsidR="00CF12DB">
        <w:rPr>
          <w:lang w:val="en-GB"/>
        </w:rPr>
        <w:t>accurate facts</w:t>
      </w:r>
    </w:p>
    <w:p w14:paraId="3E719C56" w14:textId="77777777" w:rsidR="00CF12DB" w:rsidRDefault="00CF12DB" w:rsidP="00D762FB">
      <w:pPr>
        <w:pStyle w:val="ListParagraph"/>
        <w:numPr>
          <w:ilvl w:val="0"/>
          <w:numId w:val="25"/>
        </w:numPr>
        <w:rPr>
          <w:lang w:val="en-GB"/>
        </w:rPr>
      </w:pPr>
      <w:r>
        <w:rPr>
          <w:lang w:val="en-GB"/>
        </w:rPr>
        <w:t>The advisor shall be responsible for the services provided – excessive limitation of liability for services provided is not acceptable.</w:t>
      </w:r>
    </w:p>
    <w:p w14:paraId="3E719C57" w14:textId="77777777" w:rsidR="00CF12DB" w:rsidRDefault="00CF12DB" w:rsidP="00D762FB">
      <w:pPr>
        <w:pStyle w:val="ListParagraph"/>
        <w:numPr>
          <w:ilvl w:val="0"/>
          <w:numId w:val="25"/>
        </w:numPr>
        <w:rPr>
          <w:lang w:val="en-GB"/>
        </w:rPr>
      </w:pPr>
      <w:r>
        <w:rPr>
          <w:lang w:val="en-GB"/>
        </w:rPr>
        <w:t xml:space="preserve">Always ask for </w:t>
      </w:r>
      <w:r w:rsidR="006F378C">
        <w:rPr>
          <w:lang w:val="en-GB"/>
        </w:rPr>
        <w:t xml:space="preserve">a written </w:t>
      </w:r>
      <w:r>
        <w:rPr>
          <w:lang w:val="en-GB"/>
        </w:rPr>
        <w:t>fee estimate in advance</w:t>
      </w:r>
    </w:p>
    <w:p w14:paraId="3E719C58" w14:textId="5E61898C" w:rsidR="00CF12DB" w:rsidRDefault="00CF12DB" w:rsidP="00D762FB">
      <w:pPr>
        <w:pStyle w:val="ListParagraph"/>
        <w:numPr>
          <w:ilvl w:val="0"/>
          <w:numId w:val="25"/>
        </w:numPr>
        <w:rPr>
          <w:lang w:val="en-GB"/>
        </w:rPr>
      </w:pPr>
      <w:r>
        <w:rPr>
          <w:lang w:val="en-GB"/>
        </w:rPr>
        <w:t>Remember that it is your responsibility that tax planning initiated by external advisors compl</w:t>
      </w:r>
      <w:r w:rsidR="00726C49">
        <w:rPr>
          <w:lang w:val="en-GB"/>
        </w:rPr>
        <w:t>ies</w:t>
      </w:r>
      <w:r>
        <w:rPr>
          <w:lang w:val="en-GB"/>
        </w:rPr>
        <w:t xml:space="preserve"> with </w:t>
      </w:r>
      <w:r w:rsidR="00BE62E2">
        <w:rPr>
          <w:lang w:val="en-GB"/>
        </w:rPr>
        <w:t xml:space="preserve">the </w:t>
      </w:r>
      <w:r w:rsidR="00D9320C">
        <w:rPr>
          <w:lang w:val="en-GB"/>
        </w:rPr>
        <w:t xml:space="preserve">Orkla </w:t>
      </w:r>
      <w:r w:rsidR="006F378C">
        <w:rPr>
          <w:lang w:val="en-GB"/>
        </w:rPr>
        <w:t xml:space="preserve">Group Tax </w:t>
      </w:r>
      <w:r w:rsidR="00D9320C">
        <w:rPr>
          <w:lang w:val="en-GB"/>
        </w:rPr>
        <w:t>Strategy</w:t>
      </w:r>
      <w:r w:rsidR="006F378C">
        <w:rPr>
          <w:lang w:val="en-GB"/>
        </w:rPr>
        <w:t>.</w:t>
      </w:r>
    </w:p>
    <w:p w14:paraId="56184C92" w14:textId="2F2619CA" w:rsidR="00C77DDF" w:rsidRPr="00D762FB" w:rsidRDefault="00C77DDF" w:rsidP="00D762FB">
      <w:pPr>
        <w:pStyle w:val="ListParagraph"/>
        <w:numPr>
          <w:ilvl w:val="0"/>
          <w:numId w:val="25"/>
        </w:numPr>
        <w:rPr>
          <w:lang w:val="en-GB"/>
        </w:rPr>
      </w:pPr>
      <w:r w:rsidRPr="007E45F9">
        <w:rPr>
          <w:lang w:val="en-GB"/>
        </w:rPr>
        <w:t>Potential engagement of external tax advisors where the fee may exceed EUR 20</w:t>
      </w:r>
      <w:r>
        <w:rPr>
          <w:lang w:val="en-GB"/>
        </w:rPr>
        <w:t> </w:t>
      </w:r>
      <w:r w:rsidRPr="007E45F9">
        <w:rPr>
          <w:lang w:val="en-GB"/>
        </w:rPr>
        <w:t>000</w:t>
      </w:r>
      <w:r>
        <w:rPr>
          <w:lang w:val="en-GB"/>
        </w:rPr>
        <w:t xml:space="preserve"> shall be approved by the Group Tax Team.</w:t>
      </w:r>
    </w:p>
    <w:p w14:paraId="3E719C59" w14:textId="77777777" w:rsidR="00BF72F9" w:rsidRPr="007E45F9" w:rsidRDefault="00BF72F9" w:rsidP="00FD2E8A">
      <w:pPr>
        <w:rPr>
          <w:lang w:val="en-GB"/>
        </w:rPr>
      </w:pPr>
    </w:p>
    <w:p w14:paraId="3E719C5A" w14:textId="77777777" w:rsidR="00BF72F9" w:rsidRPr="007E45F9" w:rsidRDefault="00BF72F9" w:rsidP="002F11AB">
      <w:pPr>
        <w:pStyle w:val="ListParagraph"/>
        <w:keepNext/>
        <w:numPr>
          <w:ilvl w:val="0"/>
          <w:numId w:val="22"/>
        </w:numPr>
        <w:ind w:left="360"/>
        <w:rPr>
          <w:b/>
          <w:lang w:val="en-GB"/>
        </w:rPr>
      </w:pPr>
      <w:r w:rsidRPr="007E45F9">
        <w:rPr>
          <w:b/>
          <w:lang w:val="en-GB"/>
        </w:rPr>
        <w:t>Relationships with tax authorities</w:t>
      </w:r>
    </w:p>
    <w:p w14:paraId="3E719C5B" w14:textId="0E8E7358" w:rsidR="00BF72F9" w:rsidRDefault="00BF72F9" w:rsidP="002F11AB">
      <w:pPr>
        <w:keepNext/>
        <w:rPr>
          <w:lang w:val="en-GB"/>
        </w:rPr>
      </w:pPr>
      <w:r w:rsidRPr="007E45F9">
        <w:rPr>
          <w:lang w:val="en-GB"/>
        </w:rPr>
        <w:t xml:space="preserve">Orkla is committed to the principles of openness, transparency and cooperativeness in its approach to relationships with all relevant tax authorities. Orkla </w:t>
      </w:r>
      <w:r w:rsidR="001A7E2D">
        <w:rPr>
          <w:lang w:val="en-GB"/>
        </w:rPr>
        <w:t>aims to</w:t>
      </w:r>
      <w:r w:rsidRPr="007E45F9">
        <w:rPr>
          <w:lang w:val="en-GB"/>
        </w:rPr>
        <w:t xml:space="preserve"> make complete, accurate and timely disclosures in all returns and other correspondence with the tax authorities. We shall </w:t>
      </w:r>
      <w:r w:rsidR="001A7E2D">
        <w:rPr>
          <w:lang w:val="en-GB"/>
        </w:rPr>
        <w:t>consider</w:t>
      </w:r>
      <w:r w:rsidRPr="007E45F9">
        <w:rPr>
          <w:lang w:val="en-GB"/>
        </w:rPr>
        <w:t xml:space="preserve"> </w:t>
      </w:r>
      <w:r w:rsidR="001A7E2D" w:rsidRPr="007E45F9">
        <w:rPr>
          <w:lang w:val="en-GB"/>
        </w:rPr>
        <w:t>resolving</w:t>
      </w:r>
      <w:r w:rsidRPr="007E45F9">
        <w:rPr>
          <w:lang w:val="en-GB"/>
        </w:rPr>
        <w:t xml:space="preserve"> uncertain material tax issues in advance with the tax authorities. </w:t>
      </w:r>
      <w:r w:rsidR="001A7E2D">
        <w:rPr>
          <w:lang w:val="en-GB"/>
        </w:rPr>
        <w:t>Identified u</w:t>
      </w:r>
      <w:r w:rsidRPr="007E45F9">
        <w:rPr>
          <w:lang w:val="en-GB"/>
        </w:rPr>
        <w:t xml:space="preserve">ncertain positions in the current tax year shall be </w:t>
      </w:r>
      <w:r w:rsidR="001A7E2D">
        <w:rPr>
          <w:lang w:val="en-GB"/>
        </w:rPr>
        <w:t>reflected</w:t>
      </w:r>
      <w:r w:rsidRPr="007E45F9">
        <w:rPr>
          <w:lang w:val="en-GB"/>
        </w:rPr>
        <w:t xml:space="preserve"> in the tax returns in order to disclose complete and accurate information to the tax authorities and avoid potential penalties and reputational damage.</w:t>
      </w:r>
    </w:p>
    <w:p w14:paraId="3E719C5C" w14:textId="77777777" w:rsidR="000C1139" w:rsidRDefault="000C1139" w:rsidP="00BF72F9">
      <w:pPr>
        <w:rPr>
          <w:lang w:val="en-GB"/>
        </w:rPr>
      </w:pPr>
    </w:p>
    <w:p w14:paraId="3E719C5D" w14:textId="77777777" w:rsidR="00285939" w:rsidRPr="007E45F9" w:rsidRDefault="00285939" w:rsidP="00204CF2">
      <w:pPr>
        <w:rPr>
          <w:b/>
          <w:lang w:val="en-GB"/>
        </w:rPr>
      </w:pPr>
    </w:p>
    <w:p w14:paraId="3E719C5E" w14:textId="77777777" w:rsidR="00285939" w:rsidRPr="007E45F9" w:rsidRDefault="00285939" w:rsidP="00285939">
      <w:pPr>
        <w:pStyle w:val="ListParagraph"/>
        <w:numPr>
          <w:ilvl w:val="0"/>
          <w:numId w:val="22"/>
        </w:numPr>
        <w:ind w:left="360"/>
        <w:rPr>
          <w:b/>
          <w:lang w:val="en-GB"/>
        </w:rPr>
      </w:pPr>
      <w:r w:rsidRPr="007E45F9">
        <w:rPr>
          <w:b/>
          <w:lang w:val="en-GB"/>
        </w:rPr>
        <w:t>UK context</w:t>
      </w:r>
    </w:p>
    <w:p w14:paraId="3E719C60" w14:textId="5FEA0AA5" w:rsidR="00285939" w:rsidRPr="007E45F9" w:rsidRDefault="00FD2E8A" w:rsidP="00F23346">
      <w:pPr>
        <w:rPr>
          <w:b/>
          <w:lang w:val="en-GB"/>
        </w:rPr>
      </w:pPr>
      <w:r w:rsidRPr="007E45F9">
        <w:rPr>
          <w:lang w:val="en-GB"/>
        </w:rPr>
        <w:t xml:space="preserve">UK Finance Act 2016 introduced a </w:t>
      </w:r>
      <w:r w:rsidR="001A7E2D" w:rsidRPr="007E45F9">
        <w:rPr>
          <w:lang w:val="en-GB"/>
        </w:rPr>
        <w:t>requirement</w:t>
      </w:r>
      <w:r w:rsidRPr="007E45F9">
        <w:rPr>
          <w:lang w:val="en-GB"/>
        </w:rPr>
        <w:t xml:space="preserve"> to publish tax strategy online. This regulation appl</w:t>
      </w:r>
      <w:r w:rsidR="00726C49">
        <w:rPr>
          <w:lang w:val="en-GB"/>
        </w:rPr>
        <w:t>ies</w:t>
      </w:r>
      <w:r w:rsidRPr="007E45F9">
        <w:rPr>
          <w:lang w:val="en-GB"/>
        </w:rPr>
        <w:t xml:space="preserve"> to Orkla Group subsidiaries in UK. </w:t>
      </w:r>
      <w:r w:rsidR="00F23346" w:rsidRPr="00F23346">
        <w:rPr>
          <w:lang w:val="en-GB"/>
        </w:rPr>
        <w:t>This document is on behalf of all qualifying entities in the Orkla group pursuant to Paragraphs 19(2) and 22(2) Schedule 19, Finance Act 2016 and is intended to comply with all other obligations within Schedule 19 Finance Act 2016.</w:t>
      </w:r>
    </w:p>
    <w:sectPr w:rsidR="00285939" w:rsidRPr="007E45F9" w:rsidSect="00A75C8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F9E0" w14:textId="77777777" w:rsidR="00DF0C4E" w:rsidRDefault="00DF0C4E">
      <w:r>
        <w:separator/>
      </w:r>
    </w:p>
  </w:endnote>
  <w:endnote w:type="continuationSeparator" w:id="0">
    <w:p w14:paraId="6FE0A24A" w14:textId="77777777" w:rsidR="00DF0C4E" w:rsidRDefault="00DF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43B0" w14:textId="77777777" w:rsidR="000C7934" w:rsidRDefault="000C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F21A" w14:textId="77777777" w:rsidR="000C7934" w:rsidRDefault="000C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6C51" w14:textId="77777777" w:rsidR="000C7934" w:rsidRDefault="000C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A01E" w14:textId="77777777" w:rsidR="00DF0C4E" w:rsidRDefault="00DF0C4E">
      <w:r>
        <w:separator/>
      </w:r>
    </w:p>
  </w:footnote>
  <w:footnote w:type="continuationSeparator" w:id="0">
    <w:p w14:paraId="55C922DF" w14:textId="77777777" w:rsidR="00DF0C4E" w:rsidRDefault="00DF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9C67" w14:textId="77777777" w:rsidR="0016542D" w:rsidRDefault="001654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719C68" w14:textId="77777777" w:rsidR="0016542D" w:rsidRDefault="001654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9C69" w14:textId="5A0C42AC" w:rsidR="0016542D" w:rsidRDefault="001654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14C5">
      <w:rPr>
        <w:rStyle w:val="PageNumber"/>
        <w:noProof/>
      </w:rPr>
      <w:t>2</w:t>
    </w:r>
    <w:r>
      <w:rPr>
        <w:rStyle w:val="PageNumber"/>
      </w:rPr>
      <w:fldChar w:fldCharType="end"/>
    </w:r>
  </w:p>
  <w:p w14:paraId="3E719C6A" w14:textId="77777777" w:rsidR="0016542D" w:rsidRDefault="0016542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098" w14:textId="77777777" w:rsidR="000C7934" w:rsidRDefault="000C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BD1"/>
    <w:multiLevelType w:val="hybridMultilevel"/>
    <w:tmpl w:val="01D477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C70D92"/>
    <w:multiLevelType w:val="hybridMultilevel"/>
    <w:tmpl w:val="9AA66918"/>
    <w:lvl w:ilvl="0" w:tplc="67E6719A">
      <w:start w:val="2"/>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A7F87"/>
    <w:multiLevelType w:val="hybridMultilevel"/>
    <w:tmpl w:val="6728C5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165C98"/>
    <w:multiLevelType w:val="hybridMultilevel"/>
    <w:tmpl w:val="614E52B0"/>
    <w:lvl w:ilvl="0" w:tplc="78B41B08">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13F5439A"/>
    <w:multiLevelType w:val="hybridMultilevel"/>
    <w:tmpl w:val="400A094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4BF0D32"/>
    <w:multiLevelType w:val="hybridMultilevel"/>
    <w:tmpl w:val="D854B874"/>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9830F3"/>
    <w:multiLevelType w:val="hybridMultilevel"/>
    <w:tmpl w:val="3D9AA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325AFF"/>
    <w:multiLevelType w:val="hybridMultilevel"/>
    <w:tmpl w:val="724EA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D39D8"/>
    <w:multiLevelType w:val="hybridMultilevel"/>
    <w:tmpl w:val="F8349D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A214EE"/>
    <w:multiLevelType w:val="hybridMultilevel"/>
    <w:tmpl w:val="61488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3B24D4"/>
    <w:multiLevelType w:val="hybridMultilevel"/>
    <w:tmpl w:val="2E3C0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8209F1"/>
    <w:multiLevelType w:val="hybridMultilevel"/>
    <w:tmpl w:val="0D188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D3539E"/>
    <w:multiLevelType w:val="hybridMultilevel"/>
    <w:tmpl w:val="9838427A"/>
    <w:lvl w:ilvl="0" w:tplc="9EFCADB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2824A4"/>
    <w:multiLevelType w:val="hybridMultilevel"/>
    <w:tmpl w:val="F4DE6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E1D285B"/>
    <w:multiLevelType w:val="multilevel"/>
    <w:tmpl w:val="E8A819B6"/>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F6085C"/>
    <w:multiLevelType w:val="hybridMultilevel"/>
    <w:tmpl w:val="D264E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996D9D"/>
    <w:multiLevelType w:val="hybridMultilevel"/>
    <w:tmpl w:val="4EDCDB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17D610C"/>
    <w:multiLevelType w:val="hybridMultilevel"/>
    <w:tmpl w:val="B77A67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9887C7F"/>
    <w:multiLevelType w:val="singleLevel"/>
    <w:tmpl w:val="0414000F"/>
    <w:lvl w:ilvl="0">
      <w:start w:val="1"/>
      <w:numFmt w:val="decimal"/>
      <w:lvlText w:val="%1."/>
      <w:lvlJc w:val="left"/>
      <w:pPr>
        <w:tabs>
          <w:tab w:val="num" w:pos="360"/>
        </w:tabs>
        <w:ind w:left="360" w:hanging="360"/>
      </w:pPr>
    </w:lvl>
  </w:abstractNum>
  <w:abstractNum w:abstractNumId="19" w15:restartNumberingAfterBreak="0">
    <w:nsid w:val="59F717AA"/>
    <w:multiLevelType w:val="hybridMultilevel"/>
    <w:tmpl w:val="5BD8029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E9698F"/>
    <w:multiLevelType w:val="hybridMultilevel"/>
    <w:tmpl w:val="AC3054FA"/>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E573B0"/>
    <w:multiLevelType w:val="hybridMultilevel"/>
    <w:tmpl w:val="FBDE0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726889"/>
    <w:multiLevelType w:val="hybridMultilevel"/>
    <w:tmpl w:val="57DE5A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1841413"/>
    <w:multiLevelType w:val="hybridMultilevel"/>
    <w:tmpl w:val="A66643CC"/>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6EC0FB3"/>
    <w:multiLevelType w:val="hybridMultilevel"/>
    <w:tmpl w:val="EE82B64A"/>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24"/>
  </w:num>
  <w:num w:numId="3">
    <w:abstractNumId w:val="19"/>
  </w:num>
  <w:num w:numId="4">
    <w:abstractNumId w:val="7"/>
  </w:num>
  <w:num w:numId="5">
    <w:abstractNumId w:val="4"/>
  </w:num>
  <w:num w:numId="6">
    <w:abstractNumId w:val="14"/>
  </w:num>
  <w:num w:numId="7">
    <w:abstractNumId w:val="21"/>
  </w:num>
  <w:num w:numId="8">
    <w:abstractNumId w:val="1"/>
  </w:num>
  <w:num w:numId="9">
    <w:abstractNumId w:val="13"/>
  </w:num>
  <w:num w:numId="10">
    <w:abstractNumId w:val="10"/>
  </w:num>
  <w:num w:numId="11">
    <w:abstractNumId w:val="15"/>
  </w:num>
  <w:num w:numId="12">
    <w:abstractNumId w:val="12"/>
  </w:num>
  <w:num w:numId="13">
    <w:abstractNumId w:val="3"/>
  </w:num>
  <w:num w:numId="14">
    <w:abstractNumId w:val="11"/>
  </w:num>
  <w:num w:numId="15">
    <w:abstractNumId w:val="0"/>
  </w:num>
  <w:num w:numId="16">
    <w:abstractNumId w:val="6"/>
  </w:num>
  <w:num w:numId="17">
    <w:abstractNumId w:val="9"/>
  </w:num>
  <w:num w:numId="18">
    <w:abstractNumId w:val="2"/>
  </w:num>
  <w:num w:numId="19">
    <w:abstractNumId w:val="17"/>
  </w:num>
  <w:num w:numId="20">
    <w:abstractNumId w:val="22"/>
  </w:num>
  <w:num w:numId="21">
    <w:abstractNumId w:val="16"/>
  </w:num>
  <w:num w:numId="22">
    <w:abstractNumId w:val="8"/>
  </w:num>
  <w:num w:numId="23">
    <w:abstractNumId w:val="2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87"/>
    <w:rsid w:val="000019A6"/>
    <w:rsid w:val="000019E4"/>
    <w:rsid w:val="00001B50"/>
    <w:rsid w:val="00001BB4"/>
    <w:rsid w:val="00003C09"/>
    <w:rsid w:val="00020951"/>
    <w:rsid w:val="00023F98"/>
    <w:rsid w:val="00031873"/>
    <w:rsid w:val="00037BE5"/>
    <w:rsid w:val="00040C18"/>
    <w:rsid w:val="0004456E"/>
    <w:rsid w:val="00050024"/>
    <w:rsid w:val="000551B9"/>
    <w:rsid w:val="00056E1E"/>
    <w:rsid w:val="00066CE2"/>
    <w:rsid w:val="0006745F"/>
    <w:rsid w:val="00085A2B"/>
    <w:rsid w:val="000903DD"/>
    <w:rsid w:val="000A2AC4"/>
    <w:rsid w:val="000A2ECD"/>
    <w:rsid w:val="000A5DF3"/>
    <w:rsid w:val="000B07CE"/>
    <w:rsid w:val="000B4363"/>
    <w:rsid w:val="000C1139"/>
    <w:rsid w:val="000C6316"/>
    <w:rsid w:val="000C7934"/>
    <w:rsid w:val="000D6664"/>
    <w:rsid w:val="000D72BC"/>
    <w:rsid w:val="000E0A10"/>
    <w:rsid w:val="000E31E0"/>
    <w:rsid w:val="000E40E6"/>
    <w:rsid w:val="000F1044"/>
    <w:rsid w:val="000F2407"/>
    <w:rsid w:val="000F2711"/>
    <w:rsid w:val="000F2F1C"/>
    <w:rsid w:val="000F6F0D"/>
    <w:rsid w:val="00110B54"/>
    <w:rsid w:val="001141FF"/>
    <w:rsid w:val="0011434B"/>
    <w:rsid w:val="00121F92"/>
    <w:rsid w:val="00127A77"/>
    <w:rsid w:val="001330B8"/>
    <w:rsid w:val="00135459"/>
    <w:rsid w:val="00135EA9"/>
    <w:rsid w:val="001422DD"/>
    <w:rsid w:val="00143583"/>
    <w:rsid w:val="00147284"/>
    <w:rsid w:val="00152EC4"/>
    <w:rsid w:val="00154469"/>
    <w:rsid w:val="00154F78"/>
    <w:rsid w:val="00164F3D"/>
    <w:rsid w:val="0016542D"/>
    <w:rsid w:val="00197157"/>
    <w:rsid w:val="001A7E2D"/>
    <w:rsid w:val="001B4349"/>
    <w:rsid w:val="001B7AE7"/>
    <w:rsid w:val="001C6B6D"/>
    <w:rsid w:val="001D51EF"/>
    <w:rsid w:val="001D58D1"/>
    <w:rsid w:val="001E6563"/>
    <w:rsid w:val="00204CF2"/>
    <w:rsid w:val="002101A7"/>
    <w:rsid w:val="0021169F"/>
    <w:rsid w:val="00211B1B"/>
    <w:rsid w:val="00232371"/>
    <w:rsid w:val="00233058"/>
    <w:rsid w:val="00236E71"/>
    <w:rsid w:val="0023752D"/>
    <w:rsid w:val="00253F32"/>
    <w:rsid w:val="00261647"/>
    <w:rsid w:val="00280C85"/>
    <w:rsid w:val="002832EA"/>
    <w:rsid w:val="00285939"/>
    <w:rsid w:val="00293A35"/>
    <w:rsid w:val="00295344"/>
    <w:rsid w:val="002958C0"/>
    <w:rsid w:val="002C755C"/>
    <w:rsid w:val="002D38FB"/>
    <w:rsid w:val="002F11AB"/>
    <w:rsid w:val="0030383D"/>
    <w:rsid w:val="0030404F"/>
    <w:rsid w:val="00312B79"/>
    <w:rsid w:val="0032365C"/>
    <w:rsid w:val="00326298"/>
    <w:rsid w:val="0032635D"/>
    <w:rsid w:val="0033092C"/>
    <w:rsid w:val="00331B90"/>
    <w:rsid w:val="00333592"/>
    <w:rsid w:val="0033731A"/>
    <w:rsid w:val="00340D86"/>
    <w:rsid w:val="00354E35"/>
    <w:rsid w:val="00354F23"/>
    <w:rsid w:val="0038205D"/>
    <w:rsid w:val="003853ED"/>
    <w:rsid w:val="0039175F"/>
    <w:rsid w:val="003C734C"/>
    <w:rsid w:val="003E169A"/>
    <w:rsid w:val="003E54AF"/>
    <w:rsid w:val="004075EF"/>
    <w:rsid w:val="00412E50"/>
    <w:rsid w:val="00416C01"/>
    <w:rsid w:val="004178FA"/>
    <w:rsid w:val="00417CA6"/>
    <w:rsid w:val="00424787"/>
    <w:rsid w:val="00433024"/>
    <w:rsid w:val="00440AA7"/>
    <w:rsid w:val="004453F0"/>
    <w:rsid w:val="00481FFB"/>
    <w:rsid w:val="00483E58"/>
    <w:rsid w:val="004A3018"/>
    <w:rsid w:val="004B049D"/>
    <w:rsid w:val="004B32C9"/>
    <w:rsid w:val="004B5776"/>
    <w:rsid w:val="004B7DF6"/>
    <w:rsid w:val="004C36AB"/>
    <w:rsid w:val="004C503E"/>
    <w:rsid w:val="004E2F0E"/>
    <w:rsid w:val="00504B6E"/>
    <w:rsid w:val="00516CC4"/>
    <w:rsid w:val="00521D6E"/>
    <w:rsid w:val="005229BB"/>
    <w:rsid w:val="005249B0"/>
    <w:rsid w:val="00524E83"/>
    <w:rsid w:val="005348EA"/>
    <w:rsid w:val="00536838"/>
    <w:rsid w:val="00545702"/>
    <w:rsid w:val="005658B9"/>
    <w:rsid w:val="0057726E"/>
    <w:rsid w:val="00593EE2"/>
    <w:rsid w:val="005A1A58"/>
    <w:rsid w:val="005A3C60"/>
    <w:rsid w:val="005A5F23"/>
    <w:rsid w:val="005B1C5B"/>
    <w:rsid w:val="005B498A"/>
    <w:rsid w:val="005C0383"/>
    <w:rsid w:val="005D5F02"/>
    <w:rsid w:val="005E4BEE"/>
    <w:rsid w:val="005F4D0A"/>
    <w:rsid w:val="00606AFB"/>
    <w:rsid w:val="00606F2B"/>
    <w:rsid w:val="00610DE9"/>
    <w:rsid w:val="006167B6"/>
    <w:rsid w:val="00643758"/>
    <w:rsid w:val="00653794"/>
    <w:rsid w:val="0066083B"/>
    <w:rsid w:val="00666240"/>
    <w:rsid w:val="00676FFA"/>
    <w:rsid w:val="0068019D"/>
    <w:rsid w:val="00680A7E"/>
    <w:rsid w:val="006844E4"/>
    <w:rsid w:val="0068580E"/>
    <w:rsid w:val="00694C70"/>
    <w:rsid w:val="00697D5F"/>
    <w:rsid w:val="006A274C"/>
    <w:rsid w:val="006A7977"/>
    <w:rsid w:val="006B3E45"/>
    <w:rsid w:val="006C56D7"/>
    <w:rsid w:val="006C5C1A"/>
    <w:rsid w:val="006D6557"/>
    <w:rsid w:val="006E682C"/>
    <w:rsid w:val="006F08CB"/>
    <w:rsid w:val="006F0A2E"/>
    <w:rsid w:val="006F378C"/>
    <w:rsid w:val="006F4662"/>
    <w:rsid w:val="006F6EBA"/>
    <w:rsid w:val="007039A6"/>
    <w:rsid w:val="007074C3"/>
    <w:rsid w:val="007077BC"/>
    <w:rsid w:val="00711BED"/>
    <w:rsid w:val="007250FA"/>
    <w:rsid w:val="00726C49"/>
    <w:rsid w:val="00731E3C"/>
    <w:rsid w:val="00733E3A"/>
    <w:rsid w:val="00745AD6"/>
    <w:rsid w:val="00760ABA"/>
    <w:rsid w:val="00766486"/>
    <w:rsid w:val="00767348"/>
    <w:rsid w:val="00770B4C"/>
    <w:rsid w:val="0077774B"/>
    <w:rsid w:val="007816F7"/>
    <w:rsid w:val="007A2A30"/>
    <w:rsid w:val="007B0814"/>
    <w:rsid w:val="007E2F0E"/>
    <w:rsid w:val="007E334E"/>
    <w:rsid w:val="007E434E"/>
    <w:rsid w:val="007E45F9"/>
    <w:rsid w:val="007E71D8"/>
    <w:rsid w:val="007F7F5F"/>
    <w:rsid w:val="008163D0"/>
    <w:rsid w:val="00820ECA"/>
    <w:rsid w:val="00825F54"/>
    <w:rsid w:val="00831B46"/>
    <w:rsid w:val="00846C27"/>
    <w:rsid w:val="008619DF"/>
    <w:rsid w:val="008735B3"/>
    <w:rsid w:val="00873F50"/>
    <w:rsid w:val="008748D3"/>
    <w:rsid w:val="0087632A"/>
    <w:rsid w:val="00881B56"/>
    <w:rsid w:val="00883872"/>
    <w:rsid w:val="0088618C"/>
    <w:rsid w:val="00890D0C"/>
    <w:rsid w:val="00894AF1"/>
    <w:rsid w:val="008A58C8"/>
    <w:rsid w:val="008A5CA1"/>
    <w:rsid w:val="008B0C75"/>
    <w:rsid w:val="008B430A"/>
    <w:rsid w:val="008B5BB3"/>
    <w:rsid w:val="008D0C6E"/>
    <w:rsid w:val="008D1A04"/>
    <w:rsid w:val="008D1CF9"/>
    <w:rsid w:val="008E302A"/>
    <w:rsid w:val="00901187"/>
    <w:rsid w:val="009111EA"/>
    <w:rsid w:val="00921E80"/>
    <w:rsid w:val="009313D2"/>
    <w:rsid w:val="00932003"/>
    <w:rsid w:val="00945C4C"/>
    <w:rsid w:val="0094621A"/>
    <w:rsid w:val="0094765E"/>
    <w:rsid w:val="00951325"/>
    <w:rsid w:val="0095397A"/>
    <w:rsid w:val="00955297"/>
    <w:rsid w:val="0096552A"/>
    <w:rsid w:val="00973C83"/>
    <w:rsid w:val="00975767"/>
    <w:rsid w:val="0099684D"/>
    <w:rsid w:val="00996D6B"/>
    <w:rsid w:val="00997E4D"/>
    <w:rsid w:val="009B485B"/>
    <w:rsid w:val="009C251B"/>
    <w:rsid w:val="009C4196"/>
    <w:rsid w:val="009D39C2"/>
    <w:rsid w:val="009E499B"/>
    <w:rsid w:val="009F29D3"/>
    <w:rsid w:val="009F2A9A"/>
    <w:rsid w:val="00A01626"/>
    <w:rsid w:val="00A03FF9"/>
    <w:rsid w:val="00A06168"/>
    <w:rsid w:val="00A06D49"/>
    <w:rsid w:val="00A078D8"/>
    <w:rsid w:val="00A07A29"/>
    <w:rsid w:val="00A1273D"/>
    <w:rsid w:val="00A20920"/>
    <w:rsid w:val="00A21661"/>
    <w:rsid w:val="00A24569"/>
    <w:rsid w:val="00A30EE0"/>
    <w:rsid w:val="00A32230"/>
    <w:rsid w:val="00A55347"/>
    <w:rsid w:val="00A561FE"/>
    <w:rsid w:val="00A62E83"/>
    <w:rsid w:val="00A73424"/>
    <w:rsid w:val="00A73447"/>
    <w:rsid w:val="00A74C12"/>
    <w:rsid w:val="00A75C80"/>
    <w:rsid w:val="00A80A9B"/>
    <w:rsid w:val="00A84A03"/>
    <w:rsid w:val="00A866EA"/>
    <w:rsid w:val="00A90F11"/>
    <w:rsid w:val="00AA17F3"/>
    <w:rsid w:val="00AA244F"/>
    <w:rsid w:val="00AA778C"/>
    <w:rsid w:val="00AB6060"/>
    <w:rsid w:val="00AC73A5"/>
    <w:rsid w:val="00AD44B0"/>
    <w:rsid w:val="00AE03AA"/>
    <w:rsid w:val="00AF21D2"/>
    <w:rsid w:val="00B021ED"/>
    <w:rsid w:val="00B03A0B"/>
    <w:rsid w:val="00B04F97"/>
    <w:rsid w:val="00B1001C"/>
    <w:rsid w:val="00B159D6"/>
    <w:rsid w:val="00B1667E"/>
    <w:rsid w:val="00B16F93"/>
    <w:rsid w:val="00B3405F"/>
    <w:rsid w:val="00B349B7"/>
    <w:rsid w:val="00B4189C"/>
    <w:rsid w:val="00B43A37"/>
    <w:rsid w:val="00B472AB"/>
    <w:rsid w:val="00B54BD5"/>
    <w:rsid w:val="00B640C1"/>
    <w:rsid w:val="00B65347"/>
    <w:rsid w:val="00B9218D"/>
    <w:rsid w:val="00B92320"/>
    <w:rsid w:val="00B92F28"/>
    <w:rsid w:val="00B93196"/>
    <w:rsid w:val="00B93268"/>
    <w:rsid w:val="00B9572E"/>
    <w:rsid w:val="00BA05EA"/>
    <w:rsid w:val="00BC09C0"/>
    <w:rsid w:val="00BD0962"/>
    <w:rsid w:val="00BD4B8A"/>
    <w:rsid w:val="00BE62E2"/>
    <w:rsid w:val="00BF6B1D"/>
    <w:rsid w:val="00BF72F9"/>
    <w:rsid w:val="00C05B33"/>
    <w:rsid w:val="00C075B2"/>
    <w:rsid w:val="00C116FC"/>
    <w:rsid w:val="00C12510"/>
    <w:rsid w:val="00C12D8F"/>
    <w:rsid w:val="00C23FA3"/>
    <w:rsid w:val="00C24616"/>
    <w:rsid w:val="00C25DC4"/>
    <w:rsid w:val="00C47AC5"/>
    <w:rsid w:val="00C57462"/>
    <w:rsid w:val="00C6371F"/>
    <w:rsid w:val="00C650B2"/>
    <w:rsid w:val="00C678E4"/>
    <w:rsid w:val="00C77DDF"/>
    <w:rsid w:val="00CA506D"/>
    <w:rsid w:val="00CB70A8"/>
    <w:rsid w:val="00CC6649"/>
    <w:rsid w:val="00CD1015"/>
    <w:rsid w:val="00CD21EB"/>
    <w:rsid w:val="00CE3286"/>
    <w:rsid w:val="00CF12DB"/>
    <w:rsid w:val="00CF1765"/>
    <w:rsid w:val="00CF22AD"/>
    <w:rsid w:val="00CF3B65"/>
    <w:rsid w:val="00D17187"/>
    <w:rsid w:val="00D172CA"/>
    <w:rsid w:val="00D20AE5"/>
    <w:rsid w:val="00D24A7F"/>
    <w:rsid w:val="00D25368"/>
    <w:rsid w:val="00D32076"/>
    <w:rsid w:val="00D355DF"/>
    <w:rsid w:val="00D362E1"/>
    <w:rsid w:val="00D3655D"/>
    <w:rsid w:val="00D404FD"/>
    <w:rsid w:val="00D44A13"/>
    <w:rsid w:val="00D51EA5"/>
    <w:rsid w:val="00D555FC"/>
    <w:rsid w:val="00D60EAE"/>
    <w:rsid w:val="00D74E36"/>
    <w:rsid w:val="00D762FB"/>
    <w:rsid w:val="00D81F48"/>
    <w:rsid w:val="00D9320C"/>
    <w:rsid w:val="00D935F9"/>
    <w:rsid w:val="00D94483"/>
    <w:rsid w:val="00D94AA2"/>
    <w:rsid w:val="00DA2A03"/>
    <w:rsid w:val="00DA705D"/>
    <w:rsid w:val="00DA7255"/>
    <w:rsid w:val="00DB5479"/>
    <w:rsid w:val="00DC30CF"/>
    <w:rsid w:val="00DD4625"/>
    <w:rsid w:val="00DE1008"/>
    <w:rsid w:val="00DE10A2"/>
    <w:rsid w:val="00DE49D4"/>
    <w:rsid w:val="00DF0C4E"/>
    <w:rsid w:val="00DF44EE"/>
    <w:rsid w:val="00E1174B"/>
    <w:rsid w:val="00E17311"/>
    <w:rsid w:val="00E17BCD"/>
    <w:rsid w:val="00E2098E"/>
    <w:rsid w:val="00E42BC8"/>
    <w:rsid w:val="00E45C59"/>
    <w:rsid w:val="00E4604D"/>
    <w:rsid w:val="00E47D62"/>
    <w:rsid w:val="00E7675C"/>
    <w:rsid w:val="00E76912"/>
    <w:rsid w:val="00E77794"/>
    <w:rsid w:val="00E82575"/>
    <w:rsid w:val="00E855D7"/>
    <w:rsid w:val="00E91664"/>
    <w:rsid w:val="00E918B9"/>
    <w:rsid w:val="00E94A2A"/>
    <w:rsid w:val="00E95076"/>
    <w:rsid w:val="00EA248F"/>
    <w:rsid w:val="00EB6BD9"/>
    <w:rsid w:val="00ED2EF5"/>
    <w:rsid w:val="00ED7F3C"/>
    <w:rsid w:val="00EF524F"/>
    <w:rsid w:val="00F037DB"/>
    <w:rsid w:val="00F05223"/>
    <w:rsid w:val="00F1560F"/>
    <w:rsid w:val="00F15BFC"/>
    <w:rsid w:val="00F20A69"/>
    <w:rsid w:val="00F23346"/>
    <w:rsid w:val="00F27D3E"/>
    <w:rsid w:val="00F30D81"/>
    <w:rsid w:val="00F314C5"/>
    <w:rsid w:val="00F33078"/>
    <w:rsid w:val="00F36DA7"/>
    <w:rsid w:val="00F412B9"/>
    <w:rsid w:val="00F44ABC"/>
    <w:rsid w:val="00F465E4"/>
    <w:rsid w:val="00F50F03"/>
    <w:rsid w:val="00F54F74"/>
    <w:rsid w:val="00F71AC5"/>
    <w:rsid w:val="00F74199"/>
    <w:rsid w:val="00F7574F"/>
    <w:rsid w:val="00F830B0"/>
    <w:rsid w:val="00F86F93"/>
    <w:rsid w:val="00F918F8"/>
    <w:rsid w:val="00FA4590"/>
    <w:rsid w:val="00FA73A8"/>
    <w:rsid w:val="00FB0CD7"/>
    <w:rsid w:val="00FB64B0"/>
    <w:rsid w:val="00FC6989"/>
    <w:rsid w:val="00FD0809"/>
    <w:rsid w:val="00FD2E8A"/>
    <w:rsid w:val="00FE7968"/>
    <w:rsid w:val="00FF04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19C01"/>
  <w15:docId w15:val="{332EC73D-65EF-4F0A-8CDC-9674AFDE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D7"/>
    <w:rPr>
      <w:sz w:val="24"/>
      <w:lang w:val="nb-NO" w:eastAsia="nb-NO"/>
    </w:rPr>
  </w:style>
  <w:style w:type="paragraph" w:styleId="Heading1">
    <w:name w:val="heading 1"/>
    <w:basedOn w:val="Normal"/>
    <w:next w:val="Normal"/>
    <w:qFormat/>
    <w:rsid w:val="00A75C80"/>
    <w:pPr>
      <w:keepNext/>
      <w:spacing w:before="240" w:after="60"/>
      <w:outlineLvl w:val="0"/>
    </w:pPr>
    <w:rPr>
      <w:rFonts w:ascii="Arial" w:hAnsi="Arial"/>
      <w:b/>
      <w:kern w:val="28"/>
      <w:sz w:val="28"/>
    </w:rPr>
  </w:style>
  <w:style w:type="paragraph" w:styleId="Heading2">
    <w:name w:val="heading 2"/>
    <w:basedOn w:val="Normal"/>
    <w:next w:val="Normal"/>
    <w:qFormat/>
    <w:rsid w:val="00A75C80"/>
    <w:pPr>
      <w:keepNext/>
      <w:spacing w:before="240" w:after="60"/>
      <w:outlineLvl w:val="1"/>
    </w:pPr>
    <w:rPr>
      <w:rFonts w:ascii="Arial" w:hAnsi="Arial"/>
      <w:b/>
    </w:rPr>
  </w:style>
  <w:style w:type="paragraph" w:styleId="Heading3">
    <w:name w:val="heading 3"/>
    <w:basedOn w:val="Normal"/>
    <w:next w:val="Normal"/>
    <w:qFormat/>
    <w:rsid w:val="00A75C80"/>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gebjrg">
    <w:name w:val="Ingebjørg"/>
    <w:basedOn w:val="DefaultParagraphFont"/>
    <w:rsid w:val="00A75C80"/>
    <w:rPr>
      <w:rFonts w:ascii="NewCenturySchlbk" w:hAnsi="NewCenturySchlbk"/>
      <w:i/>
      <w:sz w:val="24"/>
    </w:rPr>
  </w:style>
  <w:style w:type="paragraph" w:styleId="Header">
    <w:name w:val="header"/>
    <w:basedOn w:val="Normal"/>
    <w:rsid w:val="00A75C80"/>
    <w:pPr>
      <w:tabs>
        <w:tab w:val="center" w:pos="4536"/>
        <w:tab w:val="right" w:pos="9072"/>
      </w:tabs>
    </w:pPr>
  </w:style>
  <w:style w:type="character" w:styleId="PageNumber">
    <w:name w:val="page number"/>
    <w:basedOn w:val="DefaultParagraphFont"/>
    <w:rsid w:val="00A75C80"/>
  </w:style>
  <w:style w:type="paragraph" w:styleId="FootnoteText">
    <w:name w:val="footnote text"/>
    <w:basedOn w:val="Normal"/>
    <w:semiHidden/>
    <w:rsid w:val="0032635D"/>
    <w:rPr>
      <w:sz w:val="20"/>
    </w:rPr>
  </w:style>
  <w:style w:type="character" w:styleId="FootnoteReference">
    <w:name w:val="footnote reference"/>
    <w:basedOn w:val="DefaultParagraphFont"/>
    <w:semiHidden/>
    <w:rsid w:val="0032635D"/>
    <w:rPr>
      <w:vertAlign w:val="superscript"/>
    </w:rPr>
  </w:style>
  <w:style w:type="character" w:customStyle="1" w:styleId="StyleBold">
    <w:name w:val="Style Bold"/>
    <w:basedOn w:val="DefaultParagraphFont"/>
    <w:rsid w:val="00846C27"/>
    <w:rPr>
      <w:b/>
      <w:bCs/>
      <w:sz w:val="22"/>
    </w:rPr>
  </w:style>
  <w:style w:type="table" w:styleId="TableList4">
    <w:name w:val="Table List 4"/>
    <w:basedOn w:val="TableNormal"/>
    <w:rsid w:val="00846C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alloonText">
    <w:name w:val="Balloon Text"/>
    <w:basedOn w:val="Normal"/>
    <w:link w:val="BalloonTextChar"/>
    <w:uiPriority w:val="99"/>
    <w:semiHidden/>
    <w:unhideWhenUsed/>
    <w:rsid w:val="00F20A69"/>
    <w:rPr>
      <w:rFonts w:ascii="Tahoma" w:hAnsi="Tahoma" w:cs="Tahoma"/>
      <w:sz w:val="16"/>
      <w:szCs w:val="16"/>
    </w:rPr>
  </w:style>
  <w:style w:type="character" w:customStyle="1" w:styleId="BalloonTextChar">
    <w:name w:val="Balloon Text Char"/>
    <w:basedOn w:val="DefaultParagraphFont"/>
    <w:link w:val="BalloonText"/>
    <w:uiPriority w:val="99"/>
    <w:semiHidden/>
    <w:rsid w:val="00F20A69"/>
    <w:rPr>
      <w:rFonts w:ascii="Tahoma" w:hAnsi="Tahoma" w:cs="Tahoma"/>
      <w:sz w:val="16"/>
      <w:szCs w:val="16"/>
      <w:lang w:val="nb-NO" w:eastAsia="nb-NO"/>
    </w:rPr>
  </w:style>
  <w:style w:type="paragraph" w:styleId="ListParagraph">
    <w:name w:val="List Paragraph"/>
    <w:basedOn w:val="Normal"/>
    <w:uiPriority w:val="34"/>
    <w:qFormat/>
    <w:rsid w:val="008A58C8"/>
    <w:pPr>
      <w:ind w:left="720"/>
      <w:contextualSpacing/>
    </w:pPr>
  </w:style>
  <w:style w:type="paragraph" w:styleId="Footer">
    <w:name w:val="footer"/>
    <w:basedOn w:val="Normal"/>
    <w:link w:val="FooterChar"/>
    <w:uiPriority w:val="99"/>
    <w:unhideWhenUsed/>
    <w:rsid w:val="008E302A"/>
    <w:pPr>
      <w:tabs>
        <w:tab w:val="center" w:pos="4536"/>
        <w:tab w:val="right" w:pos="9072"/>
      </w:tabs>
    </w:pPr>
  </w:style>
  <w:style w:type="character" w:customStyle="1" w:styleId="FooterChar">
    <w:name w:val="Footer Char"/>
    <w:basedOn w:val="DefaultParagraphFont"/>
    <w:link w:val="Footer"/>
    <w:uiPriority w:val="99"/>
    <w:rsid w:val="008E302A"/>
    <w:rPr>
      <w:sz w:val="24"/>
      <w:lang w:val="nb-NO" w:eastAsia="nb-NO"/>
    </w:rPr>
  </w:style>
  <w:style w:type="character" w:styleId="CommentReference">
    <w:name w:val="annotation reference"/>
    <w:basedOn w:val="DefaultParagraphFont"/>
    <w:uiPriority w:val="99"/>
    <w:semiHidden/>
    <w:unhideWhenUsed/>
    <w:rsid w:val="00521D6E"/>
    <w:rPr>
      <w:sz w:val="16"/>
      <w:szCs w:val="16"/>
    </w:rPr>
  </w:style>
  <w:style w:type="paragraph" w:styleId="CommentText">
    <w:name w:val="annotation text"/>
    <w:basedOn w:val="Normal"/>
    <w:link w:val="CommentTextChar"/>
    <w:uiPriority w:val="99"/>
    <w:semiHidden/>
    <w:unhideWhenUsed/>
    <w:rsid w:val="00521D6E"/>
    <w:rPr>
      <w:sz w:val="20"/>
    </w:rPr>
  </w:style>
  <w:style w:type="character" w:customStyle="1" w:styleId="CommentTextChar">
    <w:name w:val="Comment Text Char"/>
    <w:basedOn w:val="DefaultParagraphFont"/>
    <w:link w:val="CommentText"/>
    <w:uiPriority w:val="99"/>
    <w:semiHidden/>
    <w:rsid w:val="00521D6E"/>
    <w:rPr>
      <w:lang w:val="nb-NO" w:eastAsia="nb-NO"/>
    </w:rPr>
  </w:style>
  <w:style w:type="paragraph" w:styleId="CommentSubject">
    <w:name w:val="annotation subject"/>
    <w:basedOn w:val="CommentText"/>
    <w:next w:val="CommentText"/>
    <w:link w:val="CommentSubjectChar"/>
    <w:uiPriority w:val="99"/>
    <w:semiHidden/>
    <w:unhideWhenUsed/>
    <w:rsid w:val="00521D6E"/>
    <w:rPr>
      <w:b/>
      <w:bCs/>
    </w:rPr>
  </w:style>
  <w:style w:type="character" w:customStyle="1" w:styleId="CommentSubjectChar">
    <w:name w:val="Comment Subject Char"/>
    <w:basedOn w:val="CommentTextChar"/>
    <w:link w:val="CommentSubject"/>
    <w:uiPriority w:val="99"/>
    <w:semiHidden/>
    <w:rsid w:val="00521D6E"/>
    <w:rPr>
      <w:b/>
      <w:bCs/>
      <w:lang w:val="nb-NO" w:eastAsia="nb-NO"/>
    </w:rPr>
  </w:style>
  <w:style w:type="paragraph" w:styleId="Revision">
    <w:name w:val="Revision"/>
    <w:hidden/>
    <w:uiPriority w:val="99"/>
    <w:semiHidden/>
    <w:rsid w:val="008D0C6E"/>
    <w:rPr>
      <w:sz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6336">
      <w:bodyDiv w:val="1"/>
      <w:marLeft w:val="0"/>
      <w:marRight w:val="0"/>
      <w:marTop w:val="0"/>
      <w:marBottom w:val="0"/>
      <w:divBdr>
        <w:top w:val="none" w:sz="0" w:space="0" w:color="auto"/>
        <w:left w:val="none" w:sz="0" w:space="0" w:color="auto"/>
        <w:bottom w:val="none" w:sz="0" w:space="0" w:color="auto"/>
        <w:right w:val="none" w:sz="0" w:space="0" w:color="auto"/>
      </w:divBdr>
      <w:divsChild>
        <w:div w:id="1024787678">
          <w:marLeft w:val="0"/>
          <w:marRight w:val="0"/>
          <w:marTop w:val="0"/>
          <w:marBottom w:val="0"/>
          <w:divBdr>
            <w:top w:val="none" w:sz="0" w:space="0" w:color="auto"/>
            <w:left w:val="none" w:sz="0" w:space="0" w:color="auto"/>
            <w:bottom w:val="none" w:sz="0" w:space="0" w:color="auto"/>
            <w:right w:val="none" w:sz="0" w:space="0" w:color="auto"/>
          </w:divBdr>
          <w:divsChild>
            <w:div w:id="1388334467">
              <w:marLeft w:val="0"/>
              <w:marRight w:val="0"/>
              <w:marTop w:val="0"/>
              <w:marBottom w:val="0"/>
              <w:divBdr>
                <w:top w:val="none" w:sz="0" w:space="0" w:color="auto"/>
                <w:left w:val="none" w:sz="0" w:space="0" w:color="auto"/>
                <w:bottom w:val="none" w:sz="0" w:space="0" w:color="auto"/>
                <w:right w:val="none" w:sz="0" w:space="0" w:color="auto"/>
              </w:divBdr>
              <w:divsChild>
                <w:div w:id="109399184">
                  <w:marLeft w:val="0"/>
                  <w:marRight w:val="0"/>
                  <w:marTop w:val="0"/>
                  <w:marBottom w:val="0"/>
                  <w:divBdr>
                    <w:top w:val="none" w:sz="0" w:space="0" w:color="auto"/>
                    <w:left w:val="none" w:sz="0" w:space="0" w:color="auto"/>
                    <w:bottom w:val="none" w:sz="0" w:space="0" w:color="auto"/>
                    <w:right w:val="none" w:sz="0" w:space="0" w:color="auto"/>
                  </w:divBdr>
                  <w:divsChild>
                    <w:div w:id="140001658">
                      <w:marLeft w:val="0"/>
                      <w:marRight w:val="0"/>
                      <w:marTop w:val="0"/>
                      <w:marBottom w:val="0"/>
                      <w:divBdr>
                        <w:top w:val="none" w:sz="0" w:space="0" w:color="auto"/>
                        <w:left w:val="none" w:sz="0" w:space="0" w:color="auto"/>
                        <w:bottom w:val="none" w:sz="0" w:space="0" w:color="auto"/>
                        <w:right w:val="none" w:sz="0" w:space="0" w:color="auto"/>
                      </w:divBdr>
                      <w:divsChild>
                        <w:div w:id="13609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50287109-fc25-4ddc-8ba5-bb1fda0c3fc9">AA123-147328712-1415</_dlc_DocId>
    <_dlc_DocIdUrl xmlns="50287109-fc25-4ddc-8ba5-bb1fda0c3fc9">
      <Url>https://orklabiz.sharepoint.com/sites/teams/team-Group-Tax-Orkla-ASA/_layouts/15/DocIdRedir.aspx?ID=AA123-147328712-1415</Url>
      <Description>AA123-147328712-1415</Description>
    </_dlc_DocIdUrl>
    <SharedWithUsers xmlns="50287109-fc25-4ddc-8ba5-bb1fda0c3fc9">
      <UserInfo>
        <DisplayName>Karl Otto Tveter</DisplayName>
        <AccountId>1478</AccountId>
        <AccountType/>
      </UserInfo>
      <UserInfo>
        <DisplayName>Anne Marit Kolskogen</DisplayName>
        <AccountId>1041</AccountId>
        <AccountType/>
      </UserInfo>
      <UserInfo>
        <DisplayName>Lars Petter Haugen</DisplayName>
        <AccountId>990</AccountId>
        <AccountType/>
      </UserInfo>
    </SharedWithUsers>
    <Contact_x0020_Person xmlns="42bfb24f-2a1a-4652-bdbc-f1fc14de8d2a">John Einar Eckle</Contact_x0020_Person>
    <Free xmlns="f2d7a5fa-a84c-4730-a346-0589bf8f7131" xsi:nil="true"/>
    <Invoice xmlns="42bfb24f-2a1a-4652-bdbc-f1fc14de8d2a">false</Invoice>
    <DocumentSetDescription xmlns="http://schemas.microsoft.com/sharepoint/v3" xsi:nil="true"/>
    <Respoinsible_x0020_Lawyer xmlns="42bfb24f-2a1a-4652-bdbc-f1fc14de8d2a">
      <UserInfo>
        <DisplayName>John Einar Eckle</DisplayName>
        <AccountId>28518</AccountId>
        <AccountType/>
      </UserInfo>
    </Respoinsible_x0020_Lawyer>
    <j960cff48ac646b088ce484b964ae6dc xmlns="42bfb24f-2a1a-4652-bdbc-f1fc14de8d2a">
      <Terms xmlns="http://schemas.microsoft.com/office/infopath/2007/PartnerControls">
        <TermInfo xmlns="http://schemas.microsoft.com/office/infopath/2007/PartnerControls">
          <TermName xmlns="http://schemas.microsoft.com/office/infopath/2007/PartnerControls">Orkla ASA</TermName>
          <TermId xmlns="http://schemas.microsoft.com/office/infopath/2007/PartnerControls">e616c13f-de30-4210-a90f-8c094518f81f</TermId>
        </TermInfo>
      </Terms>
    </j960cff48ac646b088ce484b964ae6dc>
    <TaxCatchAll xmlns="f2815409-1650-4b12-b6f7-003d9d7c866d">
      <Value>527</Value>
    </TaxCatchAll>
    <Created_x0020_in_x0020_SAP xmlns="42bfb24f-2a1a-4652-bdbc-f1fc14de8d2a" xsi:nil="true"/>
    <Case_x0020_ID xmlns="42bfb24f-2a1a-4652-bdbc-f1fc14de8d2a">2018-008</Case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1FE4822D54FE49A92F1DD46AF89E34" ma:contentTypeVersion="134" ma:contentTypeDescription="Create a new document." ma:contentTypeScope="" ma:versionID="6bbced0a0a1fc1a59f5ccd69d906126f">
  <xsd:schema xmlns:xsd="http://www.w3.org/2001/XMLSchema" xmlns:xs="http://www.w3.org/2001/XMLSchema" xmlns:p="http://schemas.microsoft.com/office/2006/metadata/properties" xmlns:ns1="http://schemas.microsoft.com/sharepoint/v3" xmlns:ns2="42bfb24f-2a1a-4652-bdbc-f1fc14de8d2a" xmlns:ns3="f2815409-1650-4b12-b6f7-003d9d7c866d" xmlns:ns4="f2d7a5fa-a84c-4730-a346-0589bf8f7131" xmlns:ns5="50287109-fc25-4ddc-8ba5-bb1fda0c3fc9" targetNamespace="http://schemas.microsoft.com/office/2006/metadata/properties" ma:root="true" ma:fieldsID="8bc38f60e97bb554d4264d401f6031b8" ns1:_="" ns2:_="" ns3:_="" ns4:_="" ns5:_="">
    <xsd:import namespace="http://schemas.microsoft.com/sharepoint/v3"/>
    <xsd:import namespace="42bfb24f-2a1a-4652-bdbc-f1fc14de8d2a"/>
    <xsd:import namespace="f2815409-1650-4b12-b6f7-003d9d7c866d"/>
    <xsd:import namespace="f2d7a5fa-a84c-4730-a346-0589bf8f7131"/>
    <xsd:import namespace="50287109-fc25-4ddc-8ba5-bb1fda0c3fc9"/>
    <xsd:element name="properties">
      <xsd:complexType>
        <xsd:sequence>
          <xsd:element name="documentManagement">
            <xsd:complexType>
              <xsd:all>
                <xsd:element ref="ns1:DocumentSetDescription" minOccurs="0"/>
                <xsd:element ref="ns2:Case_x0020_ID" minOccurs="0"/>
                <xsd:element ref="ns2:Contact_x0020_Person" minOccurs="0"/>
                <xsd:element ref="ns2:Created_x0020_in_x0020_SAP" minOccurs="0"/>
                <xsd:element ref="ns2:Invoice" minOccurs="0"/>
                <xsd:element ref="ns2:j960cff48ac646b088ce484b964ae6dc" minOccurs="0"/>
                <xsd:element ref="ns3:TaxCatchAll" minOccurs="0"/>
                <xsd:element ref="ns3:TaxCatchAllLabel" minOccurs="0"/>
                <xsd:element ref="ns2:Respoinsible_x0020_Lawyer" minOccurs="0"/>
                <xsd:element ref="ns4:Free" minOccurs="0"/>
                <xsd:element ref="ns5:SharedWithUsers" minOccurs="0"/>
                <xsd:element ref="ns5:SharedWithDetails" minOccurs="0"/>
                <xsd:element ref="ns5:_dlc_DocId" minOccurs="0"/>
                <xsd:element ref="ns5:_dlc_DocIdUrl" minOccurs="0"/>
                <xsd:element ref="ns5:_dlc_DocIdPersistId"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fb24f-2a1a-4652-bdbc-f1fc14de8d2a" elementFormDefault="qualified">
    <xsd:import namespace="http://schemas.microsoft.com/office/2006/documentManagement/types"/>
    <xsd:import namespace="http://schemas.microsoft.com/office/infopath/2007/PartnerControls"/>
    <xsd:element name="Case_x0020_ID" ma:index="9" nillable="true" ma:displayName="Case ID" ma:description="Case ID shall as a main rule be the same as the case number in Case/Folder name. This field ensures all files are tagged with the CaseID" ma:internalName="Case_x0020_ID">
      <xsd:simpleType>
        <xsd:restriction base="dms:Text">
          <xsd:maxLength value="255"/>
        </xsd:restriction>
      </xsd:simpleType>
    </xsd:element>
    <xsd:element name="Contact_x0020_Person" ma:index="10" nillable="true" ma:displayName="Contact Person" ma:internalName="Contact_x0020_Person">
      <xsd:simpleType>
        <xsd:restriction base="dms:Text">
          <xsd:maxLength value="255"/>
        </xsd:restriction>
      </xsd:simpleType>
    </xsd:element>
    <xsd:element name="Created_x0020_in_x0020_SAP" ma:index="11" nillable="true" ma:displayName="Created in SAP" ma:format="DateOnly" ma:internalName="Created_x0020_in_x0020_SAP">
      <xsd:simpleType>
        <xsd:restriction base="dms:DateTime"/>
      </xsd:simpleType>
    </xsd:element>
    <xsd:element name="Invoice" ma:index="12" nillable="true" ma:displayName="Invoice" ma:default="1" ma:internalName="Invoice">
      <xsd:simpleType>
        <xsd:restriction base="dms:Boolean"/>
      </xsd:simpleType>
    </xsd:element>
    <xsd:element name="j960cff48ac646b088ce484b964ae6dc" ma:index="13" nillable="true" ma:taxonomy="true" ma:internalName="j960cff48ac646b088ce484b964ae6dc" ma:taxonomyFieldName="Legal_x0020_Entity" ma:displayName="Legal Entity" ma:default="" ma:fieldId="{3960cff4-8ac6-46b0-88ce-484b964ae6dc}" ma:sspId="f692df45-2ee3-4823-b18c-9b009abc5093" ma:termSetId="4d28383b-e878-45e0-9ed3-4c7a380dd3fa" ma:anchorId="00000000-0000-0000-0000-000000000000" ma:open="true" ma:isKeyword="false">
      <xsd:complexType>
        <xsd:sequence>
          <xsd:element ref="pc:Terms" minOccurs="0" maxOccurs="1"/>
        </xsd:sequence>
      </xsd:complexType>
    </xsd:element>
    <xsd:element name="Respoinsible_x0020_Lawyer" ma:index="17" nillable="true" ma:displayName="Responsible" ma:list="UserInfo" ma:SharePointGroup="7519" ma:internalName="Respoinsible_x0020_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eacc6308-47d8-4c39-ad4c-2e4705a0969f}" ma:internalName="TaxCatchAll" ma:showField="CatchAllData" ma:web="50287109-fc25-4ddc-8ba5-bb1fda0c3fc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acc6308-47d8-4c39-ad4c-2e4705a0969f}" ma:internalName="TaxCatchAllLabel" ma:readOnly="true" ma:showField="CatchAllDataLabel" ma:web="50287109-fc25-4ddc-8ba5-bb1fda0c3f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d7a5fa-a84c-4730-a346-0589bf8f7131" elementFormDefault="qualified">
    <xsd:import namespace="http://schemas.microsoft.com/office/2006/documentManagement/types"/>
    <xsd:import namespace="http://schemas.microsoft.com/office/infopath/2007/PartnerControls"/>
    <xsd:element name="Free" ma:index="18" nillable="true" ma:displayName="Free" ma:description="Free description to use for categorizing, sorting, etc." ma:internalName="Fre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87109-fc25-4ddc-8ba5-bb1fda0c3fc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7D497-FD00-4660-9444-687B4D09BD09}">
  <ds:schemaRefs>
    <ds:schemaRef ds:uri="http://schemas.openxmlformats.org/officeDocument/2006/bibliography"/>
  </ds:schemaRefs>
</ds:datastoreItem>
</file>

<file path=customXml/itemProps2.xml><?xml version="1.0" encoding="utf-8"?>
<ds:datastoreItem xmlns:ds="http://schemas.openxmlformats.org/officeDocument/2006/customXml" ds:itemID="{B086A0BD-92BB-4CA8-81E8-E6F90A7724A7}">
  <ds:schemaRefs>
    <ds:schemaRef ds:uri="http://schemas.microsoft.com/office/2006/metadata/properties"/>
    <ds:schemaRef ds:uri="http://schemas.microsoft.com/office/infopath/2007/PartnerControls"/>
    <ds:schemaRef ds:uri="50287109-fc25-4ddc-8ba5-bb1fda0c3fc9"/>
    <ds:schemaRef ds:uri="42bfb24f-2a1a-4652-bdbc-f1fc14de8d2a"/>
    <ds:schemaRef ds:uri="f2d7a5fa-a84c-4730-a346-0589bf8f7131"/>
    <ds:schemaRef ds:uri="http://schemas.microsoft.com/sharepoint/v3"/>
    <ds:schemaRef ds:uri="f2815409-1650-4b12-b6f7-003d9d7c866d"/>
  </ds:schemaRefs>
</ds:datastoreItem>
</file>

<file path=customXml/itemProps3.xml><?xml version="1.0" encoding="utf-8"?>
<ds:datastoreItem xmlns:ds="http://schemas.openxmlformats.org/officeDocument/2006/customXml" ds:itemID="{A63B367D-729F-42A0-84A2-8EAD01C200E5}">
  <ds:schemaRefs>
    <ds:schemaRef ds:uri="http://schemas.microsoft.com/sharepoint/v3/contenttype/forms"/>
  </ds:schemaRefs>
</ds:datastoreItem>
</file>

<file path=customXml/itemProps4.xml><?xml version="1.0" encoding="utf-8"?>
<ds:datastoreItem xmlns:ds="http://schemas.openxmlformats.org/officeDocument/2006/customXml" ds:itemID="{F8012561-3E4A-4BA1-BFD4-0834CC07CDED}">
  <ds:schemaRefs>
    <ds:schemaRef ds:uri="http://schemas.microsoft.com/sharepoint/events"/>
  </ds:schemaRefs>
</ds:datastoreItem>
</file>

<file path=customXml/itemProps5.xml><?xml version="1.0" encoding="utf-8"?>
<ds:datastoreItem xmlns:ds="http://schemas.openxmlformats.org/officeDocument/2006/customXml" ds:itemID="{A1D2D880-AEB8-45A2-9816-6A828B5A4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bfb24f-2a1a-4652-bdbc-f1fc14de8d2a"/>
    <ds:schemaRef ds:uri="f2815409-1650-4b12-b6f7-003d9d7c866d"/>
    <ds:schemaRef ds:uri="f2d7a5fa-a84c-4730-a346-0589bf8f7131"/>
    <ds:schemaRef ds:uri="50287109-fc25-4ddc-8ba5-bb1fda0c3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1400</Words>
  <Characters>7582</Characters>
  <Application>Microsoft Office Word</Application>
  <DocSecurity>0</DocSecurity>
  <Lines>63</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Notat</vt:lpstr>
      <vt:lpstr>Notat</vt:lpstr>
    </vt:vector>
  </TitlesOfParts>
  <Company>ORKLA ASA</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Eckle, John Einar</dc:creator>
  <cp:lastModifiedBy>John Einar Eckle</cp:lastModifiedBy>
  <cp:revision>3</cp:revision>
  <cp:lastPrinted>2020-02-27T13:53:00Z</cp:lastPrinted>
  <dcterms:created xsi:type="dcterms:W3CDTF">2022-02-07T08:37:00Z</dcterms:created>
  <dcterms:modified xsi:type="dcterms:W3CDTF">2022-02-07T13:34:00Z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0x010100D21FE4822D54FE49A92F1DD46AF89E34</vt:lpwstr>
  </property>
  <property fmtid="{D5CDD505-2E9C-101B-9397-08002B2CF9AE}" pid="3" name="Legal Entity">
    <vt:lpwstr>527;#Orkla ASA|e616c13f-de30-4210-a90f-8c094518f81f</vt:lpwstr>
  </property>
  <property fmtid="{D5CDD505-2E9C-101B-9397-08002B2CF9AE}" pid="4" name="_dlc_DocIdItemGuid">
    <vt:lpwstr>07df254a-40ad-4416-bd35-7ab7a01ef87c</vt:lpwstr>
  </property>
  <property fmtid="{D5CDD505-2E9C-101B-9397-08002B2CF9AE}" pid="5" name="j960cff48ac646b088ce484b964ae6dc">
    <vt:lpwstr>Orkla ASA departments|24ee04cc-abe1-4f45-9c9f-f1de99f40114</vt:lpwstr>
  </property>
  <property fmtid="{D5CDD505-2E9C-101B-9397-08002B2CF9AE}" pid="6" name="Case ID">
    <vt:lpwstr>2018-008</vt:lpwstr>
  </property>
  <property fmtid="{D5CDD505-2E9C-101B-9397-08002B2CF9AE}" pid="7" name="Invoice">
    <vt:bool>false</vt:bool>
  </property>
  <property fmtid="{D5CDD505-2E9C-101B-9397-08002B2CF9AE}" pid="8" name="DocumentSetDescription">
    <vt:lpwstr>Samling av styrende dokumenter for Group Tax Team i 2018</vt:lpwstr>
  </property>
  <property fmtid="{D5CDD505-2E9C-101B-9397-08002B2CF9AE}" pid="9" name="TaxCatchAll">
    <vt:lpwstr>510;#</vt:lpwstr>
  </property>
  <property fmtid="{D5CDD505-2E9C-101B-9397-08002B2CF9AE}" pid="10" name="Contact Person">
    <vt:lpwstr>John Einar Eckle</vt:lpwstr>
  </property>
  <property fmtid="{D5CDD505-2E9C-101B-9397-08002B2CF9AE}" pid="11" name="Respoinsible Lawyer">
    <vt:lpwstr>1002</vt:lpwstr>
  </property>
  <property fmtid="{D5CDD505-2E9C-101B-9397-08002B2CF9AE}" pid="12" name="_docset_NoMedatataSyncRequired">
    <vt:lpwstr>False</vt:lpwstr>
  </property>
  <property fmtid="{D5CDD505-2E9C-101B-9397-08002B2CF9AE}" pid="13" name="MSIP_Label_2cff98b5-2b2a-4bb9-98ee-cdb181b14cd1_Enabled">
    <vt:lpwstr>true</vt:lpwstr>
  </property>
  <property fmtid="{D5CDD505-2E9C-101B-9397-08002B2CF9AE}" pid="14" name="MSIP_Label_2cff98b5-2b2a-4bb9-98ee-cdb181b14cd1_SetDate">
    <vt:lpwstr>2020-02-27T13:46:10Z</vt:lpwstr>
  </property>
  <property fmtid="{D5CDD505-2E9C-101B-9397-08002B2CF9AE}" pid="15" name="MSIP_Label_2cff98b5-2b2a-4bb9-98ee-cdb181b14cd1_Method">
    <vt:lpwstr>Standard</vt:lpwstr>
  </property>
  <property fmtid="{D5CDD505-2E9C-101B-9397-08002B2CF9AE}" pid="16" name="MSIP_Label_2cff98b5-2b2a-4bb9-98ee-cdb181b14cd1_Name">
    <vt:lpwstr>2cff98b5-2b2a-4bb9-98ee-cdb181b14cd1</vt:lpwstr>
  </property>
  <property fmtid="{D5CDD505-2E9C-101B-9397-08002B2CF9AE}" pid="17" name="MSIP_Label_2cff98b5-2b2a-4bb9-98ee-cdb181b14cd1_SiteId">
    <vt:lpwstr>4b57ed8a-bc57-4143-8229-b68cd92cbaf3</vt:lpwstr>
  </property>
  <property fmtid="{D5CDD505-2E9C-101B-9397-08002B2CF9AE}" pid="18" name="MSIP_Label_2cff98b5-2b2a-4bb9-98ee-cdb181b14cd1_ActionId">
    <vt:lpwstr>8ff42acb-2f9d-4272-bebf-000046d0ce28</vt:lpwstr>
  </property>
  <property fmtid="{D5CDD505-2E9C-101B-9397-08002B2CF9AE}" pid="19" name="MSIP_Label_2cff98b5-2b2a-4bb9-98ee-cdb181b14cd1_ContentBits">
    <vt:lpwstr>0</vt:lpwstr>
  </property>
</Properties>
</file>